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7FD0F0" w14:textId="77777777" w:rsidR="00775EEC" w:rsidRPr="00775EEC" w:rsidRDefault="00775EEC" w:rsidP="00775EEC">
      <w:pPr>
        <w:keepNext/>
        <w:keepLines/>
        <w:spacing w:before="240" w:after="120"/>
        <w:jc w:val="both"/>
        <w:outlineLvl w:val="0"/>
        <w:rPr>
          <w:rFonts w:ascii="Arial" w:hAnsi="Arial"/>
          <w:b/>
          <w:color w:val="21873F"/>
          <w:sz w:val="36"/>
          <w:szCs w:val="32"/>
          <w:lang w:eastAsia="fr-FR"/>
        </w:rPr>
      </w:pPr>
      <w:bookmarkStart w:id="0" w:name="_Toc129267889"/>
      <w:bookmarkStart w:id="1" w:name="_Toc188950971"/>
      <w:r w:rsidRPr="00775EEC">
        <w:rPr>
          <w:rFonts w:ascii="Arial" w:hAnsi="Arial"/>
          <w:b/>
          <w:color w:val="21873F"/>
          <w:sz w:val="36"/>
          <w:szCs w:val="32"/>
          <w:lang w:eastAsia="fr-FR"/>
        </w:rPr>
        <w:t>73.02 Protection des cours d’eau et des sols</w:t>
      </w:r>
      <w:bookmarkEnd w:id="0"/>
      <w:bookmarkEnd w:id="1"/>
    </w:p>
    <w:p w14:paraId="067F3E90" w14:textId="77777777" w:rsidR="00775EEC" w:rsidRPr="00775EEC" w:rsidRDefault="00775EEC" w:rsidP="00775EEC">
      <w:pPr>
        <w:keepNext/>
        <w:keepLines/>
        <w:spacing w:before="40" w:after="120"/>
        <w:jc w:val="both"/>
        <w:outlineLvl w:val="1"/>
        <w:rPr>
          <w:rFonts w:ascii="Arial" w:hAnsi="Arial"/>
          <w:b/>
          <w:color w:val="21873F"/>
          <w:sz w:val="26"/>
          <w:szCs w:val="26"/>
          <w:lang w:eastAsia="fr-FR"/>
        </w:rPr>
      </w:pPr>
    </w:p>
    <w:p w14:paraId="5A8FD6B4" w14:textId="77777777" w:rsidR="00775EEC" w:rsidRPr="00775EEC" w:rsidRDefault="00775EEC" w:rsidP="00775EEC">
      <w:pPr>
        <w:keepNext/>
        <w:keepLines/>
        <w:spacing w:before="40" w:after="120"/>
        <w:jc w:val="both"/>
        <w:outlineLvl w:val="1"/>
        <w:rPr>
          <w:rFonts w:ascii="Arial" w:hAnsi="Arial"/>
          <w:b/>
          <w:color w:val="21873F"/>
          <w:sz w:val="26"/>
          <w:szCs w:val="26"/>
          <w:lang w:eastAsia="fr-FR"/>
        </w:rPr>
      </w:pPr>
      <w:r w:rsidRPr="00775EEC">
        <w:rPr>
          <w:rFonts w:ascii="Arial" w:hAnsi="Arial"/>
          <w:b/>
          <w:color w:val="21873F"/>
          <w:sz w:val="26"/>
          <w:szCs w:val="26"/>
          <w:lang w:eastAsia="fr-FR"/>
        </w:rPr>
        <w:t xml:space="preserve">Objectifs de l’intervention </w:t>
      </w:r>
    </w:p>
    <w:p w14:paraId="5B2CA0AA"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Cette intervention a pour objectif de soutenir les investissements non productifs de préservation des berges et de lutte contre le ruissellement. La mise en place de ces opérations permet de stabiliser les sols et les berges pour retrouver une qualité de l’eau et des milieux favorables aux usages.</w:t>
      </w:r>
    </w:p>
    <w:p w14:paraId="5A1C7B77" w14:textId="77777777" w:rsidR="00775EEC" w:rsidRPr="00775EEC" w:rsidRDefault="00775EEC" w:rsidP="00775EEC">
      <w:pPr>
        <w:spacing w:before="120" w:after="120"/>
        <w:jc w:val="both"/>
        <w:rPr>
          <w:rFonts w:ascii="Arial" w:eastAsia="Calibri" w:hAnsi="Arial"/>
          <w:szCs w:val="22"/>
          <w:lang w:eastAsia="fr-FR"/>
        </w:rPr>
      </w:pPr>
    </w:p>
    <w:p w14:paraId="11B958AE" w14:textId="77777777" w:rsidR="00775EEC" w:rsidRPr="00775EEC" w:rsidRDefault="00775EEC" w:rsidP="00775EEC">
      <w:pPr>
        <w:keepNext/>
        <w:keepLines/>
        <w:spacing w:before="40" w:after="120"/>
        <w:jc w:val="both"/>
        <w:outlineLvl w:val="1"/>
        <w:rPr>
          <w:rFonts w:ascii="Arial" w:hAnsi="Arial"/>
          <w:b/>
          <w:color w:val="21873F"/>
          <w:sz w:val="26"/>
          <w:szCs w:val="26"/>
          <w:lang w:eastAsia="fr-FR"/>
        </w:rPr>
      </w:pPr>
      <w:r w:rsidRPr="00775EEC">
        <w:rPr>
          <w:rFonts w:ascii="Arial" w:hAnsi="Arial"/>
          <w:b/>
          <w:color w:val="21873F"/>
          <w:sz w:val="26"/>
          <w:szCs w:val="26"/>
          <w:lang w:eastAsia="fr-FR"/>
        </w:rPr>
        <w:t>Description de l'intervention</w:t>
      </w:r>
    </w:p>
    <w:p w14:paraId="0E8BB387" w14:textId="77777777" w:rsidR="00775EEC" w:rsidRPr="00775EEC" w:rsidRDefault="00775EEC" w:rsidP="00775EEC">
      <w:pPr>
        <w:keepNext/>
        <w:keepLines/>
        <w:spacing w:before="40" w:after="120"/>
        <w:jc w:val="both"/>
        <w:outlineLvl w:val="2"/>
        <w:rPr>
          <w:rFonts w:ascii="Arial" w:hAnsi="Arial"/>
          <w:color w:val="248146"/>
          <w:sz w:val="22"/>
          <w:szCs w:val="24"/>
          <w:u w:val="single"/>
          <w:lang w:eastAsia="fr-FR"/>
        </w:rPr>
      </w:pPr>
      <w:r w:rsidRPr="00775EEC">
        <w:rPr>
          <w:rFonts w:ascii="Arial" w:hAnsi="Arial"/>
          <w:color w:val="248146"/>
          <w:sz w:val="22"/>
          <w:szCs w:val="24"/>
          <w:u w:val="single"/>
          <w:lang w:eastAsia="fr-FR"/>
        </w:rPr>
        <w:t>Liste des investissements ou actions éligibles</w:t>
      </w:r>
    </w:p>
    <w:p w14:paraId="2072EAE2"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Les coûts éligibles portent sur les dépenses en lien avec au moins un des thèmes suivants :</w:t>
      </w:r>
    </w:p>
    <w:p w14:paraId="73A9935A" w14:textId="77777777" w:rsidR="00775EEC" w:rsidRPr="00775EEC" w:rsidRDefault="00775EEC" w:rsidP="00775EEC">
      <w:pPr>
        <w:numPr>
          <w:ilvl w:val="0"/>
          <w:numId w:val="2"/>
        </w:numPr>
        <w:spacing w:before="120" w:after="120"/>
        <w:jc w:val="both"/>
        <w:rPr>
          <w:rFonts w:ascii="Arial" w:eastAsia="Calibri" w:hAnsi="Arial"/>
          <w:szCs w:val="22"/>
          <w:lang w:eastAsia="fr-FR"/>
        </w:rPr>
      </w:pPr>
      <w:r w:rsidRPr="00775EEC">
        <w:rPr>
          <w:rFonts w:ascii="Arial" w:eastAsia="Calibri" w:hAnsi="Arial"/>
          <w:szCs w:val="22"/>
          <w:lang w:eastAsia="fr-FR"/>
        </w:rPr>
        <w:t>la mise en défens de zones sensibles (zone humide, cours d’eau, rivière…) avec les mesures d’accompagnement (terrassement, clôtures, abreuvoirs avec réseaux et pompage, franchissements de cours d’eau, passage à gué…) et travaux connexes de stabilisation de berge en technique végétale sur les tronçons visés (hors enrochement, gabions et palplanche ;</w:t>
      </w:r>
    </w:p>
    <w:p w14:paraId="4B86C6D3" w14:textId="77777777" w:rsidR="00775EEC" w:rsidRPr="00775EEC" w:rsidRDefault="00775EEC" w:rsidP="00775EEC">
      <w:pPr>
        <w:numPr>
          <w:ilvl w:val="0"/>
          <w:numId w:val="2"/>
        </w:numPr>
        <w:spacing w:before="120" w:after="120"/>
        <w:jc w:val="both"/>
        <w:rPr>
          <w:rFonts w:ascii="Arial" w:eastAsia="Calibri" w:hAnsi="Arial"/>
          <w:szCs w:val="22"/>
          <w:lang w:eastAsia="fr-FR"/>
        </w:rPr>
      </w:pPr>
      <w:r w:rsidRPr="00775EEC">
        <w:rPr>
          <w:rFonts w:ascii="Arial" w:eastAsia="Calibri" w:hAnsi="Arial"/>
          <w:szCs w:val="22"/>
          <w:lang w:eastAsia="fr-FR"/>
        </w:rPr>
        <w:t xml:space="preserve">l’implantation de haies, d’alignements d’arbres intra-parcellaires et d’éléments arborés linéaires ou en bosquets (par exemple : matériel végétal, paillage, protection des plants, travaux de préparation du sol, création de talus, travaux de plantation, travaux sur les haies et arbres implantés qui ne s’apparentent pas à de l’entretien, matériel pour la plantation, pour la protection des plants et pour l’entretien des haies…) ; </w:t>
      </w:r>
    </w:p>
    <w:p w14:paraId="0C86727C" w14:textId="77777777" w:rsidR="00775EEC" w:rsidRPr="00775EEC" w:rsidRDefault="00775EEC" w:rsidP="00775EEC">
      <w:pPr>
        <w:numPr>
          <w:ilvl w:val="0"/>
          <w:numId w:val="2"/>
        </w:numPr>
        <w:spacing w:before="120" w:after="120"/>
        <w:jc w:val="both"/>
        <w:rPr>
          <w:rFonts w:ascii="Arial" w:eastAsia="Calibri" w:hAnsi="Arial"/>
          <w:szCs w:val="22"/>
          <w:lang w:eastAsia="fr-FR"/>
        </w:rPr>
      </w:pPr>
      <w:r w:rsidRPr="00775EEC">
        <w:rPr>
          <w:rFonts w:ascii="Arial" w:eastAsia="Calibri" w:hAnsi="Arial"/>
          <w:szCs w:val="22"/>
          <w:lang w:eastAsia="fr-FR"/>
        </w:rPr>
        <w:t>la restauration de milieux spécifiques (par exemple : matériel de colmatage de drains en zone humide, travaux de remise en état de milieux spécifiques) ;</w:t>
      </w:r>
    </w:p>
    <w:p w14:paraId="1CE2ACC1" w14:textId="77777777" w:rsidR="00775EEC" w:rsidRPr="00775EEC" w:rsidRDefault="00775EEC" w:rsidP="00775EEC">
      <w:pPr>
        <w:numPr>
          <w:ilvl w:val="0"/>
          <w:numId w:val="2"/>
        </w:numPr>
        <w:spacing w:before="120" w:after="120"/>
        <w:jc w:val="both"/>
        <w:rPr>
          <w:rFonts w:ascii="Arial" w:eastAsia="Calibri" w:hAnsi="Arial"/>
          <w:szCs w:val="22"/>
          <w:lang w:eastAsia="fr-FR"/>
        </w:rPr>
      </w:pPr>
      <w:r w:rsidRPr="00775EEC">
        <w:rPr>
          <w:rFonts w:ascii="Arial" w:eastAsia="Calibri" w:hAnsi="Arial"/>
          <w:szCs w:val="22"/>
          <w:lang w:eastAsia="fr-FR"/>
        </w:rPr>
        <w:t>la mise en place de dispositifs antiérosifs de type fascines si elles sont combinées à une plantation de haies hydrauliques, destinés à ralentir les ruissellements et/ou les coulées boueuses ;</w:t>
      </w:r>
    </w:p>
    <w:p w14:paraId="3F0A3A4F" w14:textId="77777777" w:rsidR="00775EEC" w:rsidRPr="00775EEC" w:rsidRDefault="00775EEC" w:rsidP="00775EEC">
      <w:pPr>
        <w:numPr>
          <w:ilvl w:val="0"/>
          <w:numId w:val="2"/>
        </w:numPr>
        <w:spacing w:before="120" w:after="120"/>
        <w:jc w:val="both"/>
        <w:rPr>
          <w:rFonts w:ascii="Arial" w:eastAsia="Calibri" w:hAnsi="Arial"/>
          <w:szCs w:val="22"/>
          <w:lang w:eastAsia="fr-FR"/>
        </w:rPr>
      </w:pPr>
      <w:r w:rsidRPr="00775EEC">
        <w:rPr>
          <w:rFonts w:ascii="Arial" w:eastAsia="Calibri" w:hAnsi="Arial"/>
          <w:szCs w:val="22"/>
          <w:lang w:eastAsia="fr-FR"/>
        </w:rPr>
        <w:t xml:space="preserve">la restauration de murets hors berges de rivières et de mares (par exemple : travaux de remise en état et petit matériel </w:t>
      </w:r>
      <w:proofErr w:type="gramStart"/>
      <w:r w:rsidRPr="00775EEC">
        <w:rPr>
          <w:rFonts w:ascii="Arial" w:eastAsia="Calibri" w:hAnsi="Arial"/>
          <w:szCs w:val="22"/>
          <w:lang w:eastAsia="fr-FR"/>
        </w:rPr>
        <w:t>spécifique,…</w:t>
      </w:r>
      <w:proofErr w:type="gramEnd"/>
      <w:r w:rsidRPr="00775EEC">
        <w:rPr>
          <w:rFonts w:ascii="Arial" w:eastAsia="Calibri" w:hAnsi="Arial"/>
          <w:szCs w:val="22"/>
          <w:lang w:eastAsia="fr-FR"/>
        </w:rPr>
        <w:t>) dans le cadre de projet à l’échelle du bassin versant pour lutter contre l’érosion ou en mesure compensatoire de la mise en défens ;</w:t>
      </w:r>
    </w:p>
    <w:p w14:paraId="066BCC82" w14:textId="77777777" w:rsidR="00775EEC" w:rsidRPr="00775EEC" w:rsidRDefault="00775EEC" w:rsidP="00775EEC">
      <w:pPr>
        <w:numPr>
          <w:ilvl w:val="0"/>
          <w:numId w:val="2"/>
        </w:numPr>
        <w:spacing w:before="120" w:after="120"/>
        <w:jc w:val="both"/>
        <w:rPr>
          <w:rFonts w:ascii="Arial" w:eastAsia="Calibri" w:hAnsi="Arial"/>
          <w:szCs w:val="22"/>
          <w:lang w:eastAsia="fr-FR"/>
        </w:rPr>
      </w:pPr>
      <w:r w:rsidRPr="00775EEC">
        <w:rPr>
          <w:rFonts w:ascii="Arial" w:eastAsia="Calibri" w:hAnsi="Arial"/>
          <w:szCs w:val="22"/>
          <w:lang w:eastAsia="fr-FR"/>
        </w:rPr>
        <w:t>aménagements pour la restauration de la qualité de l’eau (par exemple : aménagement végétalisé des exutoires de drains et fossés de drainage, bassins tampons végétalisés hors vocation gestion des crues et rétention de l'érosion des sols tel que pratiqué en viticulture par exemple) ;</w:t>
      </w:r>
    </w:p>
    <w:p w14:paraId="7091489A" w14:textId="77777777" w:rsidR="00775EEC" w:rsidRPr="00775EEC" w:rsidRDefault="00775EEC" w:rsidP="00775EEC">
      <w:pPr>
        <w:numPr>
          <w:ilvl w:val="0"/>
          <w:numId w:val="2"/>
        </w:numPr>
        <w:spacing w:before="120" w:after="120"/>
        <w:jc w:val="both"/>
        <w:rPr>
          <w:rFonts w:ascii="Arial" w:eastAsia="Calibri" w:hAnsi="Arial"/>
          <w:szCs w:val="22"/>
          <w:lang w:eastAsia="fr-FR"/>
        </w:rPr>
      </w:pPr>
      <w:r w:rsidRPr="00775EEC">
        <w:rPr>
          <w:rFonts w:ascii="Arial" w:eastAsia="Calibri" w:hAnsi="Arial"/>
          <w:szCs w:val="22"/>
          <w:lang w:eastAsia="fr-FR"/>
        </w:rPr>
        <w:t>lamier d'élagage,</w:t>
      </w:r>
    </w:p>
    <w:p w14:paraId="109B30B0" w14:textId="77777777" w:rsidR="00775EEC" w:rsidRPr="00775EEC" w:rsidRDefault="00775EEC" w:rsidP="00775EEC">
      <w:pPr>
        <w:numPr>
          <w:ilvl w:val="0"/>
          <w:numId w:val="2"/>
        </w:numPr>
        <w:spacing w:before="120" w:after="120"/>
        <w:jc w:val="both"/>
        <w:rPr>
          <w:rFonts w:ascii="Arial" w:eastAsia="Calibri" w:hAnsi="Arial"/>
          <w:szCs w:val="22"/>
          <w:lang w:eastAsia="fr-FR"/>
        </w:rPr>
      </w:pPr>
      <w:r w:rsidRPr="00775EEC">
        <w:rPr>
          <w:rFonts w:ascii="Arial" w:eastAsia="Calibri" w:hAnsi="Arial"/>
          <w:szCs w:val="22"/>
          <w:lang w:eastAsia="fr-FR"/>
        </w:rPr>
        <w:t xml:space="preserve">les frais généraux liés à ces actions, assistance à maîtrise d’ouvrage et/ou maitrise d’œuvre associé aux investissements (prestation facturée), ainsi que les études à visée opérationnelle débouchant sur des travaux. </w:t>
      </w:r>
    </w:p>
    <w:p w14:paraId="2CA7836A"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Les travaux préalables de préparation de chantier éligibles seront limités au besoin du chantier.</w:t>
      </w:r>
    </w:p>
    <w:p w14:paraId="31694B2E" w14:textId="77777777" w:rsidR="00775EEC" w:rsidRPr="00775EEC" w:rsidRDefault="00775EEC" w:rsidP="00775EEC">
      <w:pPr>
        <w:spacing w:before="120" w:after="120"/>
        <w:jc w:val="both"/>
        <w:rPr>
          <w:rFonts w:ascii="Arial" w:eastAsia="Calibri" w:hAnsi="Arial"/>
          <w:szCs w:val="22"/>
          <w:lang w:eastAsia="fr-FR"/>
        </w:rPr>
      </w:pPr>
    </w:p>
    <w:p w14:paraId="2F75FD1A" w14:textId="77777777" w:rsidR="00775EEC" w:rsidRPr="00775EEC" w:rsidRDefault="00775EEC" w:rsidP="00775EEC">
      <w:pPr>
        <w:keepNext/>
        <w:keepLines/>
        <w:spacing w:before="40" w:after="120"/>
        <w:jc w:val="both"/>
        <w:outlineLvl w:val="2"/>
        <w:rPr>
          <w:rFonts w:ascii="Arial" w:hAnsi="Arial"/>
          <w:color w:val="248146"/>
          <w:sz w:val="22"/>
          <w:szCs w:val="24"/>
          <w:u w:val="single"/>
          <w:lang w:eastAsia="fr-FR"/>
        </w:rPr>
      </w:pPr>
      <w:r w:rsidRPr="00775EEC">
        <w:rPr>
          <w:rFonts w:ascii="Arial" w:hAnsi="Arial"/>
          <w:color w:val="248146"/>
          <w:sz w:val="22"/>
          <w:szCs w:val="24"/>
          <w:u w:val="single"/>
          <w:lang w:eastAsia="fr-FR"/>
        </w:rPr>
        <w:t>Inéligibilités</w:t>
      </w:r>
    </w:p>
    <w:p w14:paraId="5C7B9CAB"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Sont exclus :</w:t>
      </w:r>
    </w:p>
    <w:p w14:paraId="0D363E3E" w14:textId="77777777" w:rsidR="00775EEC" w:rsidRPr="00775EEC" w:rsidRDefault="00775EEC" w:rsidP="00775EEC">
      <w:pPr>
        <w:numPr>
          <w:ilvl w:val="0"/>
          <w:numId w:val="3"/>
        </w:numPr>
        <w:spacing w:before="120" w:after="120"/>
        <w:jc w:val="both"/>
        <w:rPr>
          <w:rFonts w:ascii="Arial" w:eastAsia="Calibri" w:hAnsi="Arial"/>
          <w:szCs w:val="22"/>
          <w:lang w:eastAsia="fr-FR"/>
        </w:rPr>
      </w:pPr>
      <w:r w:rsidRPr="00775EEC">
        <w:rPr>
          <w:rFonts w:ascii="Arial" w:eastAsia="Calibri" w:hAnsi="Arial"/>
          <w:szCs w:val="22"/>
          <w:lang w:eastAsia="fr-FR"/>
        </w:rPr>
        <w:t>les coûts d’entretien des plantations ;</w:t>
      </w:r>
    </w:p>
    <w:p w14:paraId="74FE7622" w14:textId="77777777" w:rsidR="00775EEC" w:rsidRPr="00775EEC" w:rsidRDefault="00775EEC" w:rsidP="00775EEC">
      <w:pPr>
        <w:numPr>
          <w:ilvl w:val="0"/>
          <w:numId w:val="3"/>
        </w:numPr>
        <w:spacing w:before="120" w:after="120"/>
        <w:jc w:val="both"/>
        <w:rPr>
          <w:rFonts w:ascii="Arial" w:eastAsia="Calibri" w:hAnsi="Arial"/>
          <w:szCs w:val="22"/>
          <w:lang w:eastAsia="fr-FR"/>
        </w:rPr>
      </w:pPr>
      <w:r w:rsidRPr="00775EEC">
        <w:rPr>
          <w:rFonts w:ascii="Arial" w:eastAsia="Calibri" w:hAnsi="Arial"/>
          <w:szCs w:val="22"/>
          <w:lang w:eastAsia="fr-FR"/>
        </w:rPr>
        <w:t>les travaux, investissements ou équipements de simple remplacement ;</w:t>
      </w:r>
    </w:p>
    <w:p w14:paraId="6106FD98" w14:textId="77777777" w:rsidR="00775EEC" w:rsidRPr="00775EEC" w:rsidRDefault="00775EEC" w:rsidP="00775EEC">
      <w:pPr>
        <w:numPr>
          <w:ilvl w:val="0"/>
          <w:numId w:val="3"/>
        </w:numPr>
        <w:spacing w:before="120" w:after="120"/>
        <w:jc w:val="both"/>
        <w:rPr>
          <w:rFonts w:ascii="Arial" w:eastAsia="Calibri" w:hAnsi="Arial"/>
          <w:szCs w:val="22"/>
          <w:lang w:eastAsia="fr-FR"/>
        </w:rPr>
      </w:pPr>
      <w:r w:rsidRPr="00775EEC">
        <w:rPr>
          <w:rFonts w:ascii="Arial" w:eastAsia="Calibri" w:hAnsi="Arial"/>
          <w:szCs w:val="22"/>
          <w:lang w:eastAsia="fr-FR"/>
        </w:rPr>
        <w:t xml:space="preserve">les investissements de mise aux normes en vigueur au moment de l’appel à candidatures ou nécessaires à une obligation légale ou réglementaire (compensation </w:t>
      </w:r>
      <w:proofErr w:type="gramStart"/>
      <w:r w:rsidRPr="00775EEC">
        <w:rPr>
          <w:rFonts w:ascii="Arial" w:eastAsia="Calibri" w:hAnsi="Arial"/>
          <w:szCs w:val="22"/>
          <w:lang w:eastAsia="fr-FR"/>
        </w:rPr>
        <w:t>suite à</w:t>
      </w:r>
      <w:proofErr w:type="gramEnd"/>
      <w:r w:rsidRPr="00775EEC">
        <w:rPr>
          <w:rFonts w:ascii="Arial" w:eastAsia="Calibri" w:hAnsi="Arial"/>
          <w:szCs w:val="22"/>
          <w:lang w:eastAsia="fr-FR"/>
        </w:rPr>
        <w:t xml:space="preserve"> destruction/constat d’arrachage…) ;</w:t>
      </w:r>
    </w:p>
    <w:p w14:paraId="643BAB2D" w14:textId="77777777" w:rsidR="00775EEC" w:rsidRPr="00775EEC" w:rsidRDefault="00775EEC" w:rsidP="00775EEC">
      <w:pPr>
        <w:numPr>
          <w:ilvl w:val="0"/>
          <w:numId w:val="3"/>
        </w:numPr>
        <w:spacing w:before="120" w:after="120"/>
        <w:jc w:val="both"/>
        <w:rPr>
          <w:rFonts w:ascii="Arial" w:eastAsia="Calibri" w:hAnsi="Arial"/>
          <w:szCs w:val="22"/>
          <w:lang w:eastAsia="fr-FR"/>
        </w:rPr>
      </w:pPr>
      <w:r w:rsidRPr="00775EEC">
        <w:rPr>
          <w:rFonts w:ascii="Arial" w:eastAsia="Calibri" w:hAnsi="Arial"/>
          <w:szCs w:val="22"/>
          <w:lang w:eastAsia="fr-FR"/>
        </w:rPr>
        <w:t>les investissements financés dans le cadre d’un contrat de crédit-bail ;</w:t>
      </w:r>
    </w:p>
    <w:p w14:paraId="6022B9F5" w14:textId="77777777" w:rsidR="00775EEC" w:rsidRPr="00775EEC" w:rsidRDefault="00775EEC" w:rsidP="00775EEC">
      <w:pPr>
        <w:numPr>
          <w:ilvl w:val="0"/>
          <w:numId w:val="3"/>
        </w:numPr>
        <w:spacing w:before="120" w:after="120"/>
        <w:jc w:val="both"/>
        <w:rPr>
          <w:rFonts w:ascii="Arial" w:eastAsia="Calibri" w:hAnsi="Arial"/>
          <w:szCs w:val="22"/>
          <w:lang w:eastAsia="fr-FR"/>
        </w:rPr>
      </w:pPr>
      <w:r w:rsidRPr="00775EEC">
        <w:rPr>
          <w:rFonts w:ascii="Arial" w:eastAsia="Calibri" w:hAnsi="Arial"/>
          <w:szCs w:val="22"/>
          <w:lang w:eastAsia="fr-FR"/>
        </w:rPr>
        <w:t xml:space="preserve">les matériels d’occasion et les consommables ; </w:t>
      </w:r>
    </w:p>
    <w:p w14:paraId="2F44D953" w14:textId="77777777" w:rsidR="00775EEC" w:rsidRPr="00775EEC" w:rsidRDefault="00775EEC" w:rsidP="00775EEC">
      <w:pPr>
        <w:numPr>
          <w:ilvl w:val="0"/>
          <w:numId w:val="3"/>
        </w:numPr>
        <w:spacing w:before="120" w:after="120"/>
        <w:jc w:val="both"/>
        <w:rPr>
          <w:rFonts w:ascii="Arial" w:eastAsia="Calibri" w:hAnsi="Arial"/>
          <w:szCs w:val="22"/>
          <w:lang w:eastAsia="fr-FR"/>
        </w:rPr>
      </w:pPr>
      <w:r w:rsidRPr="00775EEC">
        <w:rPr>
          <w:rFonts w:ascii="Arial" w:eastAsia="Calibri" w:hAnsi="Arial"/>
          <w:szCs w:val="22"/>
          <w:lang w:eastAsia="fr-FR"/>
        </w:rPr>
        <w:lastRenderedPageBreak/>
        <w:t>la location-vente de matériels ;</w:t>
      </w:r>
    </w:p>
    <w:p w14:paraId="7F521F83" w14:textId="77777777" w:rsidR="00775EEC" w:rsidRPr="00775EEC" w:rsidRDefault="00775EEC" w:rsidP="00775EEC">
      <w:pPr>
        <w:numPr>
          <w:ilvl w:val="0"/>
          <w:numId w:val="3"/>
        </w:numPr>
        <w:spacing w:before="120" w:after="120"/>
        <w:jc w:val="both"/>
        <w:rPr>
          <w:rFonts w:ascii="Arial" w:eastAsia="Calibri" w:hAnsi="Arial"/>
          <w:szCs w:val="22"/>
          <w:lang w:eastAsia="fr-FR"/>
        </w:rPr>
      </w:pPr>
      <w:r w:rsidRPr="00775EEC">
        <w:rPr>
          <w:rFonts w:ascii="Arial" w:eastAsia="Calibri" w:hAnsi="Arial"/>
          <w:szCs w:val="22"/>
          <w:lang w:eastAsia="fr-FR"/>
        </w:rPr>
        <w:t>les taxes, redevances et impôts inhérents au projet (TVA…) ;</w:t>
      </w:r>
    </w:p>
    <w:p w14:paraId="0C8FE70B" w14:textId="77777777" w:rsidR="00775EEC" w:rsidRPr="00775EEC" w:rsidRDefault="00775EEC" w:rsidP="00775EEC">
      <w:pPr>
        <w:numPr>
          <w:ilvl w:val="0"/>
          <w:numId w:val="3"/>
        </w:numPr>
        <w:spacing w:before="120" w:after="120"/>
        <w:jc w:val="both"/>
        <w:rPr>
          <w:rFonts w:ascii="Arial" w:eastAsia="Calibri" w:hAnsi="Arial"/>
          <w:szCs w:val="22"/>
          <w:lang w:eastAsia="fr-FR"/>
        </w:rPr>
      </w:pPr>
      <w:r w:rsidRPr="00775EEC">
        <w:rPr>
          <w:rFonts w:ascii="Arial" w:eastAsia="Calibri" w:hAnsi="Arial"/>
          <w:szCs w:val="22"/>
          <w:lang w:eastAsia="fr-FR"/>
        </w:rPr>
        <w:t>les frais salariaux ;</w:t>
      </w:r>
    </w:p>
    <w:p w14:paraId="079F4D9E" w14:textId="77777777" w:rsidR="00775EEC" w:rsidRPr="00775EEC" w:rsidRDefault="00775EEC" w:rsidP="00775EEC">
      <w:pPr>
        <w:numPr>
          <w:ilvl w:val="0"/>
          <w:numId w:val="3"/>
        </w:numPr>
        <w:spacing w:before="120" w:after="120"/>
        <w:jc w:val="both"/>
        <w:rPr>
          <w:rFonts w:ascii="Arial" w:eastAsia="Calibri" w:hAnsi="Arial"/>
          <w:szCs w:val="22"/>
          <w:lang w:eastAsia="fr-FR"/>
        </w:rPr>
      </w:pPr>
      <w:r w:rsidRPr="00775EEC">
        <w:rPr>
          <w:rFonts w:ascii="Arial" w:eastAsia="Calibri" w:hAnsi="Arial"/>
          <w:szCs w:val="22"/>
          <w:lang w:eastAsia="fr-FR"/>
        </w:rPr>
        <w:t xml:space="preserve">les dépenses liées à la main d’œuvre en </w:t>
      </w:r>
      <w:proofErr w:type="spellStart"/>
      <w:r w:rsidRPr="00775EEC">
        <w:rPr>
          <w:rFonts w:ascii="Arial" w:eastAsia="Calibri" w:hAnsi="Arial"/>
          <w:szCs w:val="22"/>
          <w:lang w:eastAsia="fr-FR"/>
        </w:rPr>
        <w:t>autoconstruction</w:t>
      </w:r>
      <w:proofErr w:type="spellEnd"/>
      <w:r w:rsidRPr="00775EEC">
        <w:rPr>
          <w:rFonts w:ascii="Arial" w:eastAsia="Calibri" w:hAnsi="Arial"/>
          <w:szCs w:val="22"/>
          <w:lang w:eastAsia="fr-FR"/>
        </w:rPr>
        <w:t> ;</w:t>
      </w:r>
    </w:p>
    <w:p w14:paraId="057157DB" w14:textId="77777777" w:rsidR="00775EEC" w:rsidRPr="00775EEC" w:rsidRDefault="00775EEC" w:rsidP="00775EEC">
      <w:pPr>
        <w:numPr>
          <w:ilvl w:val="0"/>
          <w:numId w:val="3"/>
        </w:numPr>
        <w:spacing w:before="120" w:after="120"/>
        <w:jc w:val="both"/>
        <w:rPr>
          <w:rFonts w:ascii="Arial" w:eastAsia="Calibri" w:hAnsi="Arial"/>
          <w:szCs w:val="22"/>
          <w:lang w:eastAsia="fr-FR"/>
        </w:rPr>
      </w:pPr>
      <w:r w:rsidRPr="00775EEC">
        <w:rPr>
          <w:rFonts w:ascii="Arial" w:eastAsia="Calibri" w:hAnsi="Arial"/>
          <w:szCs w:val="22"/>
          <w:lang w:eastAsia="fr-FR"/>
        </w:rPr>
        <w:t>les travaux financés par les fonds Natura 2000 ;</w:t>
      </w:r>
    </w:p>
    <w:p w14:paraId="68441B89" w14:textId="77777777" w:rsidR="00775EEC" w:rsidRPr="00775EEC" w:rsidRDefault="00775EEC" w:rsidP="00775EEC">
      <w:pPr>
        <w:numPr>
          <w:ilvl w:val="0"/>
          <w:numId w:val="3"/>
        </w:numPr>
        <w:spacing w:before="120" w:after="120"/>
        <w:jc w:val="both"/>
        <w:rPr>
          <w:rFonts w:ascii="Arial" w:eastAsia="Calibri" w:hAnsi="Arial"/>
          <w:szCs w:val="22"/>
          <w:lang w:eastAsia="fr-FR"/>
        </w:rPr>
      </w:pPr>
      <w:r w:rsidRPr="00775EEC">
        <w:rPr>
          <w:rFonts w:ascii="Arial" w:eastAsia="Calibri" w:hAnsi="Arial"/>
          <w:szCs w:val="22"/>
          <w:lang w:eastAsia="fr-FR"/>
        </w:rPr>
        <w:t>les actions d</w:t>
      </w:r>
      <w:r w:rsidRPr="00775EEC">
        <w:rPr>
          <w:rFonts w:ascii="Arial" w:eastAsia="Calibri" w:hAnsi="Arial" w:hint="eastAsia"/>
          <w:szCs w:val="22"/>
          <w:lang w:eastAsia="fr-FR"/>
        </w:rPr>
        <w:t>’</w:t>
      </w:r>
      <w:r w:rsidRPr="00775EEC">
        <w:rPr>
          <w:rFonts w:ascii="Arial" w:eastAsia="Calibri" w:hAnsi="Arial"/>
          <w:szCs w:val="22"/>
          <w:lang w:eastAsia="fr-FR"/>
        </w:rPr>
        <w:t>entretien des infrastructures agro</w:t>
      </w:r>
      <w:r w:rsidRPr="00775EEC">
        <w:rPr>
          <w:rFonts w:ascii="Arial" w:eastAsia="Calibri" w:hAnsi="Arial" w:hint="eastAsia"/>
          <w:szCs w:val="22"/>
          <w:lang w:eastAsia="fr-FR"/>
        </w:rPr>
        <w:t>é</w:t>
      </w:r>
      <w:r w:rsidRPr="00775EEC">
        <w:rPr>
          <w:rFonts w:ascii="Arial" w:eastAsia="Calibri" w:hAnsi="Arial"/>
          <w:szCs w:val="22"/>
          <w:lang w:eastAsia="fr-FR"/>
        </w:rPr>
        <w:t>cologiques qui rel</w:t>
      </w:r>
      <w:r w:rsidRPr="00775EEC">
        <w:rPr>
          <w:rFonts w:ascii="Arial" w:eastAsia="Calibri" w:hAnsi="Arial" w:hint="eastAsia"/>
          <w:szCs w:val="22"/>
          <w:lang w:eastAsia="fr-FR"/>
        </w:rPr>
        <w:t>è</w:t>
      </w:r>
      <w:r w:rsidRPr="00775EEC">
        <w:rPr>
          <w:rFonts w:ascii="Arial" w:eastAsia="Calibri" w:hAnsi="Arial"/>
          <w:szCs w:val="22"/>
          <w:lang w:eastAsia="fr-FR"/>
        </w:rPr>
        <w:t>vent des MAEC ;</w:t>
      </w:r>
    </w:p>
    <w:p w14:paraId="17E152B4" w14:textId="77777777" w:rsidR="00775EEC" w:rsidRPr="00775EEC" w:rsidRDefault="00775EEC" w:rsidP="00775EEC">
      <w:pPr>
        <w:numPr>
          <w:ilvl w:val="0"/>
          <w:numId w:val="3"/>
        </w:numPr>
        <w:spacing w:before="120" w:after="120"/>
        <w:jc w:val="both"/>
        <w:rPr>
          <w:rFonts w:ascii="Arial" w:eastAsia="Calibri" w:hAnsi="Arial"/>
          <w:szCs w:val="22"/>
          <w:lang w:eastAsia="fr-FR"/>
        </w:rPr>
      </w:pPr>
      <w:r w:rsidRPr="00775EEC">
        <w:rPr>
          <w:rFonts w:ascii="Arial" w:eastAsia="Calibri" w:hAnsi="Arial"/>
          <w:szCs w:val="22"/>
          <w:lang w:eastAsia="fr-FR"/>
        </w:rPr>
        <w:t>les actions relevant de la mise en œuvre d</w:t>
      </w:r>
      <w:r w:rsidRPr="00775EEC">
        <w:rPr>
          <w:rFonts w:ascii="Arial" w:eastAsia="Calibri" w:hAnsi="Arial" w:hint="eastAsia"/>
          <w:szCs w:val="22"/>
          <w:lang w:eastAsia="fr-FR"/>
        </w:rPr>
        <w:t>’</w:t>
      </w:r>
      <w:r w:rsidRPr="00775EEC">
        <w:rPr>
          <w:rFonts w:ascii="Arial" w:eastAsia="Calibri" w:hAnsi="Arial"/>
          <w:szCs w:val="22"/>
          <w:lang w:eastAsia="fr-FR"/>
        </w:rPr>
        <w:t>obligations r</w:t>
      </w:r>
      <w:r w:rsidRPr="00775EEC">
        <w:rPr>
          <w:rFonts w:ascii="Arial" w:eastAsia="Calibri" w:hAnsi="Arial" w:hint="eastAsia"/>
          <w:szCs w:val="22"/>
          <w:lang w:eastAsia="fr-FR"/>
        </w:rPr>
        <w:t>è</w:t>
      </w:r>
      <w:r w:rsidRPr="00775EEC">
        <w:rPr>
          <w:rFonts w:ascii="Arial" w:eastAsia="Calibri" w:hAnsi="Arial"/>
          <w:szCs w:val="22"/>
          <w:lang w:eastAsia="fr-FR"/>
        </w:rPr>
        <w:t>glementaires, y compris les mesures compensatoires prescrites dans le cadre de proc</w:t>
      </w:r>
      <w:r w:rsidRPr="00775EEC">
        <w:rPr>
          <w:rFonts w:ascii="Arial" w:eastAsia="Calibri" w:hAnsi="Arial" w:hint="eastAsia"/>
          <w:szCs w:val="22"/>
          <w:lang w:eastAsia="fr-FR"/>
        </w:rPr>
        <w:t>é</w:t>
      </w:r>
      <w:r w:rsidRPr="00775EEC">
        <w:rPr>
          <w:rFonts w:ascii="Arial" w:eastAsia="Calibri" w:hAnsi="Arial"/>
          <w:szCs w:val="22"/>
          <w:lang w:eastAsia="fr-FR"/>
        </w:rPr>
        <w:t>dures r</w:t>
      </w:r>
      <w:r w:rsidRPr="00775EEC">
        <w:rPr>
          <w:rFonts w:ascii="Arial" w:eastAsia="Calibri" w:hAnsi="Arial" w:hint="eastAsia"/>
          <w:szCs w:val="22"/>
          <w:lang w:eastAsia="fr-FR"/>
        </w:rPr>
        <w:t>è</w:t>
      </w:r>
      <w:r w:rsidRPr="00775EEC">
        <w:rPr>
          <w:rFonts w:ascii="Arial" w:eastAsia="Calibri" w:hAnsi="Arial"/>
          <w:szCs w:val="22"/>
          <w:lang w:eastAsia="fr-FR"/>
        </w:rPr>
        <w:t xml:space="preserve">glementaires ; </w:t>
      </w:r>
    </w:p>
    <w:p w14:paraId="3A2E8780" w14:textId="77777777" w:rsidR="00775EEC" w:rsidRPr="00775EEC" w:rsidRDefault="00775EEC" w:rsidP="00775EEC">
      <w:pPr>
        <w:numPr>
          <w:ilvl w:val="0"/>
          <w:numId w:val="3"/>
        </w:numPr>
        <w:spacing w:before="120" w:after="120"/>
        <w:jc w:val="both"/>
        <w:rPr>
          <w:rFonts w:ascii="Arial" w:eastAsia="Calibri" w:hAnsi="Arial"/>
          <w:szCs w:val="22"/>
          <w:lang w:eastAsia="fr-FR"/>
        </w:rPr>
      </w:pPr>
      <w:r w:rsidRPr="00775EEC">
        <w:rPr>
          <w:rFonts w:ascii="Arial" w:eastAsia="Calibri" w:hAnsi="Arial"/>
          <w:szCs w:val="22"/>
          <w:lang w:eastAsia="fr-FR"/>
        </w:rPr>
        <w:t>tout équipement autre que le lamier d’élagage ;</w:t>
      </w:r>
    </w:p>
    <w:p w14:paraId="2611179D" w14:textId="77777777" w:rsidR="00775EEC" w:rsidRPr="00775EEC" w:rsidRDefault="00775EEC" w:rsidP="00775EEC">
      <w:pPr>
        <w:numPr>
          <w:ilvl w:val="0"/>
          <w:numId w:val="1"/>
        </w:numPr>
        <w:spacing w:before="120" w:after="120"/>
        <w:jc w:val="both"/>
        <w:rPr>
          <w:rFonts w:ascii="Arial" w:eastAsia="Calibri" w:hAnsi="Arial"/>
          <w:szCs w:val="22"/>
          <w:lang w:eastAsia="fr-FR"/>
        </w:rPr>
      </w:pPr>
      <w:r w:rsidRPr="00775EEC">
        <w:rPr>
          <w:rFonts w:ascii="Arial" w:eastAsia="Calibri" w:hAnsi="Arial"/>
          <w:szCs w:val="22"/>
          <w:lang w:eastAsia="fr-FR"/>
        </w:rPr>
        <w:t xml:space="preserve">l’ensemble des coûts rendus inéligibles par les règlements européens et notamment ceux énumérés à l’article 73 du règlement européen n°2021/2115 : </w:t>
      </w:r>
    </w:p>
    <w:p w14:paraId="78C39AE7" w14:textId="77777777" w:rsidR="00775EEC" w:rsidRPr="00775EEC" w:rsidRDefault="00775EEC" w:rsidP="00775EEC">
      <w:pPr>
        <w:numPr>
          <w:ilvl w:val="0"/>
          <w:numId w:val="4"/>
        </w:numPr>
        <w:spacing w:before="120" w:after="120"/>
        <w:jc w:val="both"/>
        <w:rPr>
          <w:rFonts w:ascii="Arial" w:eastAsia="Calibri" w:hAnsi="Arial"/>
          <w:szCs w:val="22"/>
          <w:lang w:eastAsia="fr-FR"/>
        </w:rPr>
      </w:pPr>
      <w:r w:rsidRPr="00775EEC">
        <w:rPr>
          <w:rFonts w:ascii="Arial" w:eastAsia="Calibri" w:hAnsi="Arial"/>
          <w:szCs w:val="22"/>
          <w:lang w:eastAsia="fr-FR"/>
        </w:rPr>
        <w:t>l’acquisition de droits de production agricole ;</w:t>
      </w:r>
    </w:p>
    <w:p w14:paraId="031A8AF4" w14:textId="77777777" w:rsidR="00775EEC" w:rsidRPr="00775EEC" w:rsidRDefault="00775EEC" w:rsidP="00775EEC">
      <w:pPr>
        <w:numPr>
          <w:ilvl w:val="0"/>
          <w:numId w:val="4"/>
        </w:numPr>
        <w:spacing w:before="120" w:after="120"/>
        <w:jc w:val="both"/>
        <w:rPr>
          <w:rFonts w:ascii="Arial" w:eastAsia="Calibri" w:hAnsi="Arial"/>
          <w:szCs w:val="22"/>
          <w:lang w:eastAsia="fr-FR"/>
        </w:rPr>
      </w:pPr>
      <w:r w:rsidRPr="00775EEC">
        <w:rPr>
          <w:rFonts w:ascii="Arial" w:eastAsia="Calibri" w:hAnsi="Arial"/>
          <w:szCs w:val="22"/>
          <w:lang w:eastAsia="fr-FR"/>
        </w:rPr>
        <w:t>l’acquisition de droits au paiement ;</w:t>
      </w:r>
    </w:p>
    <w:p w14:paraId="2C517002" w14:textId="77777777" w:rsidR="00775EEC" w:rsidRPr="00775EEC" w:rsidRDefault="00775EEC" w:rsidP="00775EEC">
      <w:pPr>
        <w:numPr>
          <w:ilvl w:val="0"/>
          <w:numId w:val="4"/>
        </w:numPr>
        <w:spacing w:before="120" w:after="120"/>
        <w:jc w:val="both"/>
        <w:rPr>
          <w:rFonts w:ascii="Arial" w:eastAsia="Calibri" w:hAnsi="Arial"/>
          <w:szCs w:val="22"/>
          <w:lang w:eastAsia="fr-FR"/>
        </w:rPr>
      </w:pPr>
      <w:r w:rsidRPr="00775EEC">
        <w:rPr>
          <w:rFonts w:ascii="Arial" w:eastAsia="Calibri" w:hAnsi="Arial"/>
          <w:szCs w:val="22"/>
          <w:lang w:eastAsia="fr-FR"/>
        </w:rPr>
        <w:t>l’achat de terrain pour un montant supérieur à 10 % des dépenses totales éligibles de l’opération concernée, à l’exception de l’achat de terrain aux fins de la protection de l’environnement et de la préservation des sols riches en carbone, ou de l’achat de terrain par de jeunes agriculteurs au moyen d’instruments financiers; dans le cas d’instruments financiers, ce plafond s’applique aux dépenses publiques éligibles versées au bénéficiaire final ou, dans le cas de garanties, au montant du prêt sous-jacent;</w:t>
      </w:r>
    </w:p>
    <w:p w14:paraId="4B42CD80" w14:textId="77777777" w:rsidR="00775EEC" w:rsidRPr="00775EEC" w:rsidRDefault="00775EEC" w:rsidP="00775EEC">
      <w:pPr>
        <w:numPr>
          <w:ilvl w:val="0"/>
          <w:numId w:val="4"/>
        </w:numPr>
        <w:spacing w:before="120" w:after="120"/>
        <w:jc w:val="both"/>
        <w:rPr>
          <w:rFonts w:ascii="Arial" w:eastAsia="Calibri" w:hAnsi="Arial"/>
          <w:szCs w:val="22"/>
          <w:lang w:eastAsia="fr-FR"/>
        </w:rPr>
      </w:pPr>
      <w:r w:rsidRPr="00775EEC">
        <w:rPr>
          <w:rFonts w:ascii="Arial" w:eastAsia="Calibri" w:hAnsi="Arial"/>
          <w:szCs w:val="22"/>
          <w:lang w:eastAsia="fr-FR"/>
        </w:rPr>
        <w:t>l’acquisition d’animaux et l’acquisition de plantes annuelles ainsi que la plantation de ces dernières, à des fins autres que :</w:t>
      </w:r>
    </w:p>
    <w:p w14:paraId="5CD290FF" w14:textId="77777777" w:rsidR="00775EEC" w:rsidRPr="00775EEC" w:rsidRDefault="00775EEC" w:rsidP="00775EEC">
      <w:pPr>
        <w:numPr>
          <w:ilvl w:val="0"/>
          <w:numId w:val="5"/>
        </w:numPr>
        <w:spacing w:before="120" w:after="120"/>
        <w:jc w:val="both"/>
        <w:rPr>
          <w:rFonts w:ascii="Arial" w:eastAsia="Calibri" w:hAnsi="Arial"/>
          <w:szCs w:val="22"/>
          <w:lang w:eastAsia="fr-FR"/>
        </w:rPr>
      </w:pPr>
      <w:r w:rsidRPr="00775EEC">
        <w:rPr>
          <w:rFonts w:ascii="Arial" w:eastAsia="Calibri" w:hAnsi="Arial"/>
          <w:szCs w:val="22"/>
          <w:lang w:eastAsia="fr-FR"/>
        </w:rPr>
        <w:t>la reconstitution du potentiel agricole ou forestier à la suite de catastrophes naturelles, de phénomènes climatiques défavorables ou d’événements catastrophiques ;</w:t>
      </w:r>
    </w:p>
    <w:p w14:paraId="15117D40" w14:textId="77777777" w:rsidR="00775EEC" w:rsidRPr="00775EEC" w:rsidRDefault="00775EEC" w:rsidP="00775EEC">
      <w:pPr>
        <w:numPr>
          <w:ilvl w:val="0"/>
          <w:numId w:val="5"/>
        </w:numPr>
        <w:spacing w:before="120" w:after="120"/>
        <w:jc w:val="both"/>
        <w:rPr>
          <w:rFonts w:ascii="Arial" w:eastAsia="Calibri" w:hAnsi="Arial"/>
          <w:szCs w:val="22"/>
          <w:lang w:eastAsia="fr-FR"/>
        </w:rPr>
      </w:pPr>
      <w:r w:rsidRPr="00775EEC">
        <w:rPr>
          <w:rFonts w:ascii="Arial" w:eastAsia="Calibri" w:hAnsi="Arial"/>
          <w:szCs w:val="22"/>
          <w:lang w:eastAsia="fr-FR"/>
        </w:rPr>
        <w:t>la protection des animaux d’élevage contre les grands prédateurs ou l’utilisation dans la sylviculture en lieu et place des machines ;</w:t>
      </w:r>
    </w:p>
    <w:p w14:paraId="5AFEC854" w14:textId="77777777" w:rsidR="00775EEC" w:rsidRPr="00775EEC" w:rsidRDefault="00775EEC" w:rsidP="00775EEC">
      <w:pPr>
        <w:numPr>
          <w:ilvl w:val="0"/>
          <w:numId w:val="5"/>
        </w:numPr>
        <w:spacing w:before="120" w:after="120"/>
        <w:jc w:val="both"/>
        <w:rPr>
          <w:rFonts w:ascii="Arial" w:eastAsia="Calibri" w:hAnsi="Arial"/>
          <w:szCs w:val="22"/>
          <w:lang w:eastAsia="fr-FR"/>
        </w:rPr>
      </w:pPr>
      <w:r w:rsidRPr="00775EEC">
        <w:rPr>
          <w:rFonts w:ascii="Arial" w:eastAsia="Calibri" w:hAnsi="Arial"/>
          <w:szCs w:val="22"/>
          <w:lang w:eastAsia="fr-FR"/>
        </w:rPr>
        <w:t xml:space="preserve">la reproduction des races menacées au sens de l’article 2, point 24), du règlement (UE) 2016/1012 du Parlement européen et du Conseil au titre des engagements visés à l’article 70 ; </w:t>
      </w:r>
      <w:proofErr w:type="gramStart"/>
      <w:r w:rsidRPr="00775EEC">
        <w:rPr>
          <w:rFonts w:ascii="Arial" w:eastAsia="Calibri" w:hAnsi="Arial"/>
          <w:szCs w:val="22"/>
          <w:lang w:eastAsia="fr-FR"/>
        </w:rPr>
        <w:t>ou</w:t>
      </w:r>
      <w:proofErr w:type="gramEnd"/>
    </w:p>
    <w:p w14:paraId="7B5834AD" w14:textId="77777777" w:rsidR="00775EEC" w:rsidRPr="00775EEC" w:rsidRDefault="00775EEC" w:rsidP="00775EEC">
      <w:pPr>
        <w:numPr>
          <w:ilvl w:val="0"/>
          <w:numId w:val="5"/>
        </w:numPr>
        <w:spacing w:before="120" w:after="120"/>
        <w:jc w:val="both"/>
        <w:rPr>
          <w:rFonts w:ascii="Arial" w:eastAsia="Calibri" w:hAnsi="Arial"/>
          <w:szCs w:val="22"/>
          <w:lang w:eastAsia="fr-FR"/>
        </w:rPr>
      </w:pPr>
      <w:r w:rsidRPr="00775EEC">
        <w:rPr>
          <w:rFonts w:ascii="Arial" w:eastAsia="Calibri" w:hAnsi="Arial"/>
          <w:szCs w:val="22"/>
          <w:lang w:eastAsia="fr-FR"/>
        </w:rPr>
        <w:t>la préservation des variétés végétales menacées d’érosion génétique au titre des engagements visés à l’article 70 ;</w:t>
      </w:r>
    </w:p>
    <w:p w14:paraId="01E9BBD9" w14:textId="77777777" w:rsidR="00775EEC" w:rsidRPr="00775EEC" w:rsidRDefault="00775EEC" w:rsidP="00775EEC">
      <w:pPr>
        <w:numPr>
          <w:ilvl w:val="0"/>
          <w:numId w:val="4"/>
        </w:numPr>
        <w:spacing w:before="120" w:after="120"/>
        <w:jc w:val="both"/>
        <w:rPr>
          <w:rFonts w:ascii="Arial" w:eastAsia="Calibri" w:hAnsi="Arial"/>
          <w:szCs w:val="22"/>
          <w:lang w:eastAsia="fr-FR"/>
        </w:rPr>
      </w:pPr>
      <w:r w:rsidRPr="00775EEC">
        <w:rPr>
          <w:rFonts w:ascii="Arial" w:eastAsia="Calibri" w:hAnsi="Arial"/>
          <w:szCs w:val="22"/>
          <w:lang w:eastAsia="fr-FR"/>
        </w:rPr>
        <w:t>les intérêts débiteurs, sauf en ce qui concerne des subventions accordées sous la forme de bonifications d’intérêts ou de contributions aux primes de garantie ;</w:t>
      </w:r>
    </w:p>
    <w:p w14:paraId="7ED835FD" w14:textId="77777777" w:rsidR="00775EEC" w:rsidRPr="00775EEC" w:rsidRDefault="00775EEC" w:rsidP="00775EEC">
      <w:pPr>
        <w:numPr>
          <w:ilvl w:val="0"/>
          <w:numId w:val="4"/>
        </w:numPr>
        <w:spacing w:before="120" w:after="120"/>
        <w:jc w:val="both"/>
        <w:rPr>
          <w:rFonts w:ascii="Arial" w:eastAsia="Calibri" w:hAnsi="Arial"/>
          <w:szCs w:val="22"/>
          <w:lang w:eastAsia="fr-FR"/>
        </w:rPr>
      </w:pPr>
      <w:r w:rsidRPr="00775EEC">
        <w:rPr>
          <w:rFonts w:ascii="Arial" w:eastAsia="Calibri" w:hAnsi="Arial"/>
          <w:szCs w:val="22"/>
          <w:lang w:eastAsia="fr-FR"/>
        </w:rPr>
        <w:t>des investissements dans des infrastructures à grande échelle, telles qu’elles sont déterminées par les États membres dans leurs plans stratégiques relevant de la PAC, ne relevant pas des stratégies de développement local mené par les acteurs locaux définies à l’article 32 du règlement (UE) 2021/1060, à l’exception du haut débit, des mesures de prévention des inondations ou de protection des côtes visant à réduire les conséquences de catastrophes naturelles, de phénomènes climatiques défavorables ou d’événements catastrophiques susceptibles de se produire ;</w:t>
      </w:r>
    </w:p>
    <w:p w14:paraId="479C3A07" w14:textId="77777777" w:rsidR="00775EEC" w:rsidRPr="00775EEC" w:rsidRDefault="00775EEC" w:rsidP="00775EEC">
      <w:pPr>
        <w:numPr>
          <w:ilvl w:val="0"/>
          <w:numId w:val="4"/>
        </w:numPr>
        <w:spacing w:before="120" w:after="120"/>
        <w:jc w:val="both"/>
        <w:rPr>
          <w:rFonts w:ascii="Arial" w:eastAsia="Calibri" w:hAnsi="Arial"/>
          <w:szCs w:val="22"/>
          <w:lang w:eastAsia="fr-FR"/>
        </w:rPr>
      </w:pPr>
      <w:r w:rsidRPr="00775EEC">
        <w:rPr>
          <w:rFonts w:ascii="Arial" w:eastAsia="Calibri" w:hAnsi="Arial"/>
          <w:szCs w:val="22"/>
          <w:lang w:eastAsia="fr-FR"/>
        </w:rPr>
        <w:t>les investissements dans le boisement non compatibles avec des objectifs en matière d’environnement et de climat conformes aux principes de gestion durable des forêts tels qu’ils sont définis dans les lignes directrices paneuropéennes pour le boisement et le reboisement.</w:t>
      </w:r>
    </w:p>
    <w:p w14:paraId="4F6AE68C" w14:textId="77777777" w:rsidR="00775EEC" w:rsidRPr="00775EEC" w:rsidRDefault="00775EEC" w:rsidP="00775EEC">
      <w:pPr>
        <w:spacing w:before="120" w:after="120"/>
        <w:jc w:val="both"/>
        <w:rPr>
          <w:rFonts w:ascii="Arial" w:eastAsia="Calibri" w:hAnsi="Arial"/>
          <w:szCs w:val="22"/>
          <w:lang w:eastAsia="fr-FR"/>
        </w:rPr>
      </w:pPr>
    </w:p>
    <w:p w14:paraId="531B780D" w14:textId="77777777" w:rsidR="00775EEC" w:rsidRPr="00775EEC" w:rsidRDefault="00775EEC" w:rsidP="00775EEC">
      <w:pPr>
        <w:keepNext/>
        <w:keepLines/>
        <w:spacing w:before="40" w:after="120"/>
        <w:jc w:val="both"/>
        <w:outlineLvl w:val="2"/>
        <w:rPr>
          <w:rFonts w:ascii="Arial" w:hAnsi="Arial"/>
          <w:color w:val="248146"/>
          <w:sz w:val="22"/>
          <w:szCs w:val="24"/>
          <w:u w:val="single"/>
          <w:lang w:eastAsia="fr-FR"/>
        </w:rPr>
      </w:pPr>
      <w:r w:rsidRPr="00775EEC">
        <w:rPr>
          <w:rFonts w:ascii="Arial" w:hAnsi="Arial"/>
          <w:color w:val="248146"/>
          <w:sz w:val="22"/>
          <w:szCs w:val="24"/>
          <w:u w:val="single"/>
          <w:lang w:eastAsia="fr-FR"/>
        </w:rPr>
        <w:t>Conditions d’éligibilité</w:t>
      </w:r>
    </w:p>
    <w:p w14:paraId="5FD979D7"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 xml:space="preserve">L’investissement doit être réalisé sur le territoire de la Région Bourgogne-Franche-Comté et sur une surface agricole. </w:t>
      </w:r>
    </w:p>
    <w:p w14:paraId="35241542"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 xml:space="preserve">Pour l’acquisition de matériel, le lieu de réalisation de l’investissement est défini par la localisation du siège social du bénéficiaire qui doit être situé en Région Bourgogne-Franche-Comté. </w:t>
      </w:r>
    </w:p>
    <w:p w14:paraId="44504AE2"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lastRenderedPageBreak/>
        <w:t xml:space="preserve">Pour les projets portés par des exploitations agricoles, celles-ci doivent avoir leur siège social en Bourgogne-Franche-Comté. </w:t>
      </w:r>
    </w:p>
    <w:p w14:paraId="5755ABFF" w14:textId="77777777" w:rsidR="00775EEC" w:rsidRPr="008E59ED" w:rsidRDefault="00775EEC" w:rsidP="00775EEC">
      <w:pPr>
        <w:spacing w:before="120" w:after="120"/>
        <w:jc w:val="both"/>
        <w:rPr>
          <w:rFonts w:ascii="Arial" w:eastAsia="Calibri" w:hAnsi="Arial"/>
          <w:strike/>
          <w:szCs w:val="22"/>
          <w:lang w:eastAsia="fr-FR"/>
        </w:rPr>
      </w:pPr>
      <w:r w:rsidRPr="008E59ED">
        <w:rPr>
          <w:rFonts w:ascii="Arial" w:eastAsia="Calibri" w:hAnsi="Arial"/>
          <w:strike/>
          <w:szCs w:val="22"/>
          <w:highlight w:val="yellow"/>
          <w:lang w:eastAsia="fr-FR"/>
        </w:rPr>
        <w:t xml:space="preserve">Dans les sites Natura 2000, les travaux éligibles devront être conformes aux dispositions des documents d’objectifs des sites Natura </w:t>
      </w:r>
      <w:commentRangeStart w:id="2"/>
      <w:r w:rsidRPr="008E59ED">
        <w:rPr>
          <w:rFonts w:ascii="Arial" w:eastAsia="Calibri" w:hAnsi="Arial"/>
          <w:strike/>
          <w:szCs w:val="22"/>
          <w:highlight w:val="yellow"/>
          <w:lang w:eastAsia="fr-FR"/>
        </w:rPr>
        <w:t>2000</w:t>
      </w:r>
      <w:commentRangeEnd w:id="2"/>
      <w:r w:rsidRPr="008E59ED">
        <w:rPr>
          <w:rFonts w:ascii="Arial" w:eastAsia="Calibri" w:hAnsi="Arial"/>
          <w:strike/>
          <w:szCs w:val="22"/>
          <w:highlight w:val="yellow"/>
          <w:lang w:eastAsia="fr-FR"/>
        </w:rPr>
        <w:commentReference w:id="2"/>
      </w:r>
      <w:r w:rsidRPr="008E59ED">
        <w:rPr>
          <w:rFonts w:ascii="Arial" w:eastAsia="Calibri" w:hAnsi="Arial"/>
          <w:strike/>
          <w:szCs w:val="22"/>
          <w:highlight w:val="yellow"/>
          <w:lang w:eastAsia="fr-FR"/>
        </w:rPr>
        <w:t>.</w:t>
      </w:r>
    </w:p>
    <w:p w14:paraId="0CB4450F"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Les investissements doivent être associés à un projet global en faveur de l’environnement validé par l’animateur du contrat de territoire ; il doit attester de la cohérence de l’opération avec le projet global de territoire et/ou son articulation avec d’autres opérations.</w:t>
      </w:r>
    </w:p>
    <w:p w14:paraId="7ACA07BE"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Les travaux sur les haies et arbres implantés sont conditionnés au caractère obligatoire de cette dépense afin de garantir les objectifs initiaux de l’investissement.</w:t>
      </w:r>
    </w:p>
    <w:p w14:paraId="3398062D"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Le matériel est éligible uniquement pour les structures collectives telles par exemple les CUMA ou les collectivités.</w:t>
      </w:r>
    </w:p>
    <w:p w14:paraId="6A31B374" w14:textId="77777777" w:rsidR="00775EEC" w:rsidRPr="00775EEC" w:rsidRDefault="00775EEC" w:rsidP="00775EEC">
      <w:pPr>
        <w:spacing w:before="120" w:after="120"/>
        <w:jc w:val="both"/>
        <w:rPr>
          <w:rFonts w:ascii="Arial" w:eastAsia="Calibri" w:hAnsi="Arial"/>
          <w:szCs w:val="22"/>
          <w:lang w:eastAsia="fr-FR"/>
        </w:rPr>
      </w:pPr>
    </w:p>
    <w:p w14:paraId="0FBE5172" w14:textId="77777777" w:rsidR="00775EEC" w:rsidRPr="00775EEC" w:rsidRDefault="00775EEC" w:rsidP="00775EEC">
      <w:pPr>
        <w:keepNext/>
        <w:keepLines/>
        <w:spacing w:before="40" w:after="120"/>
        <w:jc w:val="both"/>
        <w:outlineLvl w:val="2"/>
        <w:rPr>
          <w:rFonts w:ascii="Arial" w:hAnsi="Arial"/>
          <w:color w:val="248146"/>
          <w:sz w:val="22"/>
          <w:szCs w:val="24"/>
          <w:u w:val="single"/>
          <w:lang w:eastAsia="fr-FR"/>
        </w:rPr>
      </w:pPr>
      <w:r w:rsidRPr="00775EEC">
        <w:rPr>
          <w:rFonts w:ascii="Arial" w:hAnsi="Arial"/>
          <w:color w:val="248146"/>
          <w:sz w:val="22"/>
          <w:szCs w:val="24"/>
          <w:u w:val="single"/>
          <w:lang w:eastAsia="fr-FR"/>
        </w:rPr>
        <w:t>Bénéficiaires éligibles</w:t>
      </w:r>
    </w:p>
    <w:p w14:paraId="13472FE6"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Peuvent bénéficier de l’aide :</w:t>
      </w:r>
    </w:p>
    <w:p w14:paraId="2D0547D9"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 les agriculteurs personnes physiques ;</w:t>
      </w:r>
    </w:p>
    <w:p w14:paraId="3EA219A3"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 les agriculteurs personnes morales dont l'objet est agricole (sociétés à objet agricole telles que GAEC, EARL, SARL, etc.) ;</w:t>
      </w:r>
    </w:p>
    <w:p w14:paraId="6BBE58D4"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 xml:space="preserve">- les structures collectives (CUMA, Groupement d’Intérêt </w:t>
      </w:r>
      <w:proofErr w:type="spellStart"/>
      <w:r w:rsidRPr="00775EEC">
        <w:rPr>
          <w:rFonts w:ascii="Arial" w:eastAsia="Calibri" w:hAnsi="Arial"/>
          <w:szCs w:val="22"/>
          <w:lang w:eastAsia="fr-FR"/>
        </w:rPr>
        <w:t>Economique</w:t>
      </w:r>
      <w:proofErr w:type="spellEnd"/>
      <w:r w:rsidRPr="00775EEC">
        <w:rPr>
          <w:rFonts w:ascii="Arial" w:eastAsia="Calibri" w:hAnsi="Arial"/>
          <w:szCs w:val="22"/>
          <w:lang w:eastAsia="fr-FR"/>
        </w:rPr>
        <w:t>) ;</w:t>
      </w:r>
    </w:p>
    <w:p w14:paraId="0062BC53"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 les établissements de développement agricole, d’enseignement agricole et de recherche, les fondations, associations et organismes de réinsertion sans but lucratif détenant une exploitation agricole et exerçant une activité agricole.</w:t>
      </w:r>
    </w:p>
    <w:p w14:paraId="66DF60A4"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 les associations dont les associations syndicales autorisées,</w:t>
      </w:r>
    </w:p>
    <w:p w14:paraId="228B5F07"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 les établissements publics, les collectivités territoriales et leurs groupements, les syndicats mixtes, les parcs nationaux et les parcs naturels régionaux.</w:t>
      </w:r>
    </w:p>
    <w:p w14:paraId="57C96389" w14:textId="77777777" w:rsidR="00775EEC" w:rsidRPr="00775EEC" w:rsidRDefault="00775EEC" w:rsidP="00775EEC">
      <w:pPr>
        <w:spacing w:before="120" w:after="120"/>
        <w:jc w:val="both"/>
        <w:rPr>
          <w:rFonts w:ascii="Arial" w:eastAsia="Calibri" w:hAnsi="Arial"/>
          <w:szCs w:val="22"/>
          <w:lang w:eastAsia="fr-FR"/>
        </w:rPr>
      </w:pPr>
    </w:p>
    <w:p w14:paraId="63FC705C" w14:textId="77777777" w:rsidR="00775EEC" w:rsidRPr="00775EEC" w:rsidRDefault="00775EEC" w:rsidP="00775EEC">
      <w:pPr>
        <w:keepNext/>
        <w:keepLines/>
        <w:spacing w:before="40" w:after="120"/>
        <w:jc w:val="both"/>
        <w:outlineLvl w:val="2"/>
        <w:rPr>
          <w:rFonts w:ascii="Arial" w:hAnsi="Arial"/>
          <w:color w:val="248146"/>
          <w:sz w:val="22"/>
          <w:szCs w:val="24"/>
          <w:u w:val="single"/>
          <w:lang w:eastAsia="fr-FR"/>
        </w:rPr>
      </w:pPr>
      <w:r w:rsidRPr="00775EEC">
        <w:rPr>
          <w:rFonts w:ascii="Arial" w:hAnsi="Arial"/>
          <w:color w:val="248146"/>
          <w:sz w:val="22"/>
          <w:szCs w:val="24"/>
          <w:u w:val="single"/>
          <w:lang w:eastAsia="fr-FR"/>
        </w:rPr>
        <w:t>Lignes de partage PSN</w:t>
      </w:r>
    </w:p>
    <w:p w14:paraId="666F6158"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 xml:space="preserve">Fiche d’intervention 70.27 : les actions d’entretien des infrastructures </w:t>
      </w:r>
      <w:proofErr w:type="spellStart"/>
      <w:r w:rsidRPr="00775EEC">
        <w:rPr>
          <w:rFonts w:ascii="Arial" w:eastAsia="Calibri" w:hAnsi="Arial"/>
          <w:szCs w:val="22"/>
          <w:lang w:eastAsia="fr-FR"/>
        </w:rPr>
        <w:t>agro-écologiques</w:t>
      </w:r>
      <w:proofErr w:type="spellEnd"/>
      <w:r w:rsidRPr="00775EEC">
        <w:rPr>
          <w:rFonts w:ascii="Arial" w:eastAsia="Calibri" w:hAnsi="Arial"/>
          <w:szCs w:val="22"/>
          <w:lang w:eastAsia="fr-FR"/>
        </w:rPr>
        <w:t xml:space="preserve"> ne sont pas éligibles à cette mesure, elles relèvent de la MAEC forfaitaire « Transition des pratiques ».</w:t>
      </w:r>
    </w:p>
    <w:p w14:paraId="59F66AB2"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 xml:space="preserve">Fiche d’intervention 73.01 : les investissements productifs agricoles relèvent des fiches d’intervention 73.01. </w:t>
      </w:r>
    </w:p>
    <w:p w14:paraId="5D6826EC"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Fiche d’intervention 73.04 : les travaux financés par Natura 2000 ne sont pas éligibles à cette mesure, ils sont éligibles dans le cadre de la fiche intervention 73.04 « Préservation et restauration des sites Natura 2000 ».</w:t>
      </w:r>
    </w:p>
    <w:p w14:paraId="7FAA1A06" w14:textId="77777777" w:rsidR="00775EEC" w:rsidRPr="00775EEC" w:rsidRDefault="00775EEC" w:rsidP="00775EEC">
      <w:pPr>
        <w:spacing w:before="120" w:after="120"/>
        <w:jc w:val="both"/>
        <w:rPr>
          <w:rFonts w:ascii="Arial" w:eastAsia="Calibri" w:hAnsi="Arial"/>
          <w:szCs w:val="22"/>
          <w:lang w:eastAsia="fr-FR"/>
        </w:rPr>
      </w:pPr>
    </w:p>
    <w:p w14:paraId="3BB566C5" w14:textId="77777777" w:rsidR="00775EEC" w:rsidRPr="00775EEC" w:rsidRDefault="00775EEC" w:rsidP="00775EEC">
      <w:pPr>
        <w:keepNext/>
        <w:keepLines/>
        <w:spacing w:before="40" w:after="120"/>
        <w:jc w:val="both"/>
        <w:outlineLvl w:val="2"/>
        <w:rPr>
          <w:rFonts w:ascii="Arial" w:hAnsi="Arial"/>
          <w:color w:val="248146"/>
          <w:sz w:val="22"/>
          <w:szCs w:val="24"/>
          <w:u w:val="single"/>
          <w:lang w:eastAsia="fr-FR"/>
        </w:rPr>
      </w:pPr>
      <w:r w:rsidRPr="00775EEC">
        <w:rPr>
          <w:rFonts w:ascii="Arial" w:hAnsi="Arial"/>
          <w:color w:val="248146"/>
          <w:sz w:val="22"/>
          <w:szCs w:val="24"/>
          <w:u w:val="single"/>
          <w:lang w:eastAsia="fr-FR"/>
        </w:rPr>
        <w:t>Lignes de partage FESI</w:t>
      </w:r>
    </w:p>
    <w:p w14:paraId="39346085"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FEDER : l'aide accordée au titre de l’intervention « Protection des cours d’eau et des sols » n'est pas cumulable avec une aide accordée au titre du FEDER pour un même projet.</w:t>
      </w:r>
    </w:p>
    <w:p w14:paraId="296796B3" w14:textId="77777777" w:rsidR="00775EEC" w:rsidRPr="00775EEC" w:rsidRDefault="00775EEC" w:rsidP="00775EEC">
      <w:pPr>
        <w:spacing w:before="120" w:after="120"/>
        <w:jc w:val="both"/>
        <w:rPr>
          <w:rFonts w:ascii="Arial" w:eastAsia="Calibri" w:hAnsi="Arial"/>
          <w:szCs w:val="22"/>
          <w:lang w:eastAsia="fr-FR"/>
        </w:rPr>
      </w:pPr>
    </w:p>
    <w:p w14:paraId="060D1657" w14:textId="77777777" w:rsidR="00775EEC" w:rsidRPr="00775EEC" w:rsidRDefault="00775EEC" w:rsidP="00775EEC">
      <w:pPr>
        <w:keepNext/>
        <w:keepLines/>
        <w:spacing w:before="40" w:after="120"/>
        <w:jc w:val="both"/>
        <w:outlineLvl w:val="1"/>
        <w:rPr>
          <w:rFonts w:ascii="Arial" w:hAnsi="Arial"/>
          <w:b/>
          <w:color w:val="21873F"/>
          <w:sz w:val="26"/>
          <w:szCs w:val="26"/>
          <w:lang w:eastAsia="fr-FR"/>
        </w:rPr>
      </w:pPr>
      <w:r w:rsidRPr="00775EEC">
        <w:rPr>
          <w:rFonts w:ascii="Arial" w:hAnsi="Arial"/>
          <w:b/>
          <w:color w:val="21873F"/>
          <w:sz w:val="26"/>
          <w:szCs w:val="26"/>
          <w:lang w:eastAsia="fr-FR"/>
        </w:rPr>
        <w:t>Nature et montant de l'aide</w:t>
      </w:r>
    </w:p>
    <w:p w14:paraId="3F1EBBC2"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 xml:space="preserve">Il s’agit d’une subvention. </w:t>
      </w:r>
    </w:p>
    <w:p w14:paraId="1915C524" w14:textId="77777777" w:rsidR="00775EEC" w:rsidRPr="00775EEC" w:rsidRDefault="00775EEC" w:rsidP="00775EEC">
      <w:pPr>
        <w:spacing w:before="120" w:after="120"/>
        <w:jc w:val="both"/>
        <w:rPr>
          <w:rFonts w:ascii="Arial" w:eastAsia="Calibri" w:hAnsi="Arial"/>
          <w:szCs w:val="22"/>
          <w:lang w:eastAsia="fr-FR"/>
        </w:rPr>
      </w:pPr>
    </w:p>
    <w:p w14:paraId="7338AA60" w14:textId="77777777" w:rsidR="00775EEC" w:rsidRPr="00775EEC" w:rsidRDefault="00775EEC" w:rsidP="00775EEC">
      <w:pPr>
        <w:keepNext/>
        <w:keepLines/>
        <w:spacing w:before="40" w:after="120"/>
        <w:jc w:val="both"/>
        <w:outlineLvl w:val="2"/>
        <w:rPr>
          <w:rFonts w:ascii="Arial" w:hAnsi="Arial"/>
          <w:color w:val="248146"/>
          <w:sz w:val="22"/>
          <w:szCs w:val="24"/>
          <w:u w:val="single"/>
          <w:lang w:eastAsia="fr-FR"/>
        </w:rPr>
      </w:pPr>
      <w:r w:rsidRPr="00775EEC">
        <w:rPr>
          <w:rFonts w:ascii="Arial" w:hAnsi="Arial"/>
          <w:color w:val="248146"/>
          <w:sz w:val="22"/>
          <w:szCs w:val="24"/>
          <w:u w:val="single"/>
          <w:lang w:eastAsia="fr-FR"/>
        </w:rPr>
        <w:t>Taux d'aide</w:t>
      </w:r>
    </w:p>
    <w:p w14:paraId="5FED1CD5" w14:textId="77777777" w:rsidR="00775EEC" w:rsidRPr="00775EEC" w:rsidRDefault="00775EEC" w:rsidP="00775EEC">
      <w:pPr>
        <w:keepNext/>
        <w:keepLines/>
        <w:spacing w:before="40" w:after="120"/>
        <w:jc w:val="both"/>
        <w:outlineLvl w:val="3"/>
        <w:rPr>
          <w:rFonts w:ascii="Arial" w:hAnsi="Arial"/>
          <w:i/>
          <w:iCs/>
          <w:color w:val="21873F"/>
          <w:sz w:val="22"/>
          <w:szCs w:val="22"/>
          <w:lang w:eastAsia="fr-FR"/>
        </w:rPr>
      </w:pPr>
      <w:r w:rsidRPr="00775EEC">
        <w:rPr>
          <w:rFonts w:ascii="Arial" w:hAnsi="Arial"/>
          <w:i/>
          <w:iCs/>
          <w:color w:val="21873F"/>
          <w:sz w:val="22"/>
          <w:szCs w:val="22"/>
          <w:lang w:eastAsia="fr-FR"/>
        </w:rPr>
        <w:t>Taux de base</w:t>
      </w:r>
    </w:p>
    <w:p w14:paraId="2678103D"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Le taux d’aide publique est de 80% dans le cas général.</w:t>
      </w:r>
    </w:p>
    <w:p w14:paraId="6713CD79" w14:textId="77777777" w:rsidR="00775EEC" w:rsidRPr="00775EEC" w:rsidRDefault="00775EEC" w:rsidP="00775EEC">
      <w:pPr>
        <w:keepNext/>
        <w:keepLines/>
        <w:spacing w:before="40" w:after="120"/>
        <w:jc w:val="both"/>
        <w:outlineLvl w:val="3"/>
        <w:rPr>
          <w:rFonts w:ascii="Arial" w:hAnsi="Arial"/>
          <w:i/>
          <w:iCs/>
          <w:color w:val="21873F"/>
          <w:sz w:val="22"/>
          <w:szCs w:val="22"/>
          <w:lang w:eastAsia="fr-FR"/>
        </w:rPr>
      </w:pPr>
      <w:r w:rsidRPr="00775EEC">
        <w:rPr>
          <w:rFonts w:ascii="Arial" w:hAnsi="Arial"/>
          <w:i/>
          <w:iCs/>
          <w:color w:val="21873F"/>
          <w:sz w:val="22"/>
          <w:szCs w:val="22"/>
          <w:lang w:eastAsia="fr-FR"/>
        </w:rPr>
        <w:lastRenderedPageBreak/>
        <w:t>Majoration</w:t>
      </w:r>
    </w:p>
    <w:p w14:paraId="7DBE8893"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Une majoration est accordée pour les associations de protection de l’environnement agréées : 100%</w:t>
      </w:r>
    </w:p>
    <w:p w14:paraId="118A65A4" w14:textId="77777777" w:rsidR="00775EEC" w:rsidRPr="00775EEC" w:rsidRDefault="00775EEC" w:rsidP="00775EEC">
      <w:pPr>
        <w:spacing w:before="120" w:after="120"/>
        <w:jc w:val="both"/>
        <w:rPr>
          <w:rFonts w:ascii="Arial" w:eastAsia="Calibri" w:hAnsi="Arial"/>
          <w:szCs w:val="22"/>
          <w:lang w:eastAsia="fr-FR"/>
        </w:rPr>
      </w:pPr>
    </w:p>
    <w:p w14:paraId="056A1056" w14:textId="77777777" w:rsidR="00775EEC" w:rsidRPr="00775EEC" w:rsidRDefault="00775EEC" w:rsidP="00775EEC">
      <w:pPr>
        <w:keepNext/>
        <w:keepLines/>
        <w:spacing w:before="40" w:after="120"/>
        <w:jc w:val="both"/>
        <w:outlineLvl w:val="2"/>
        <w:rPr>
          <w:rFonts w:ascii="Arial" w:hAnsi="Arial"/>
          <w:color w:val="248146"/>
          <w:sz w:val="22"/>
          <w:szCs w:val="24"/>
          <w:u w:val="single"/>
          <w:lang w:eastAsia="fr-FR"/>
        </w:rPr>
      </w:pPr>
      <w:r w:rsidRPr="00775EEC">
        <w:rPr>
          <w:rFonts w:ascii="Arial" w:hAnsi="Arial"/>
          <w:color w:val="248146"/>
          <w:sz w:val="22"/>
          <w:szCs w:val="24"/>
          <w:u w:val="single"/>
          <w:lang w:eastAsia="fr-FR"/>
        </w:rPr>
        <w:t>Calcul du montant de la subvention</w:t>
      </w:r>
    </w:p>
    <w:p w14:paraId="510158DB" w14:textId="77777777" w:rsidR="00775EEC" w:rsidRPr="00775EEC" w:rsidRDefault="00775EEC" w:rsidP="00775EEC">
      <w:pPr>
        <w:keepNext/>
        <w:keepLines/>
        <w:spacing w:before="40" w:after="120"/>
        <w:jc w:val="both"/>
        <w:outlineLvl w:val="3"/>
        <w:rPr>
          <w:rFonts w:ascii="Arial" w:hAnsi="Arial"/>
          <w:i/>
          <w:iCs/>
          <w:color w:val="21873F"/>
          <w:sz w:val="22"/>
          <w:szCs w:val="22"/>
          <w:lang w:eastAsia="fr-FR"/>
        </w:rPr>
      </w:pPr>
      <w:r w:rsidRPr="00775EEC">
        <w:rPr>
          <w:rFonts w:ascii="Arial" w:hAnsi="Arial"/>
          <w:i/>
          <w:iCs/>
          <w:color w:val="21873F"/>
          <w:sz w:val="22"/>
          <w:szCs w:val="22"/>
          <w:lang w:eastAsia="fr-FR"/>
        </w:rPr>
        <w:t xml:space="preserve">Plancher </w:t>
      </w:r>
    </w:p>
    <w:p w14:paraId="3BBAAA71" w14:textId="77777777" w:rsidR="00775EEC" w:rsidRPr="00775EEC" w:rsidRDefault="00775EEC" w:rsidP="00775EEC">
      <w:pPr>
        <w:spacing w:before="120" w:after="120"/>
        <w:jc w:val="both"/>
        <w:rPr>
          <w:rFonts w:ascii="Arial" w:eastAsia="Calibri" w:hAnsi="Arial"/>
          <w:szCs w:val="22"/>
          <w:lang w:eastAsia="fr-FR"/>
        </w:rPr>
      </w:pPr>
      <w:bookmarkStart w:id="3" w:name="_Hlk129266010"/>
      <w:r w:rsidRPr="00775EEC">
        <w:rPr>
          <w:rFonts w:ascii="Arial" w:eastAsia="Calibri" w:hAnsi="Arial"/>
          <w:szCs w:val="22"/>
          <w:lang w:eastAsia="fr-FR"/>
        </w:rPr>
        <w:t xml:space="preserve">Il n’y a pas de plancher pour cette intervention. </w:t>
      </w:r>
    </w:p>
    <w:bookmarkEnd w:id="3"/>
    <w:p w14:paraId="03298593" w14:textId="77777777" w:rsidR="00775EEC" w:rsidRPr="00775EEC" w:rsidRDefault="00775EEC" w:rsidP="00775EEC">
      <w:pPr>
        <w:spacing w:before="120" w:after="120"/>
        <w:jc w:val="both"/>
        <w:rPr>
          <w:rFonts w:ascii="Arial" w:eastAsia="Calibri" w:hAnsi="Arial"/>
          <w:szCs w:val="22"/>
          <w:lang w:eastAsia="fr-FR"/>
        </w:rPr>
      </w:pPr>
    </w:p>
    <w:p w14:paraId="6AF607AE" w14:textId="77777777" w:rsidR="00775EEC" w:rsidRPr="00775EEC" w:rsidRDefault="00775EEC" w:rsidP="00775EEC">
      <w:pPr>
        <w:keepNext/>
        <w:keepLines/>
        <w:spacing w:before="40" w:after="120"/>
        <w:jc w:val="both"/>
        <w:outlineLvl w:val="3"/>
        <w:rPr>
          <w:rFonts w:ascii="Arial" w:hAnsi="Arial"/>
          <w:i/>
          <w:iCs/>
          <w:color w:val="21873F"/>
          <w:sz w:val="22"/>
          <w:szCs w:val="22"/>
          <w:lang w:eastAsia="fr-FR"/>
        </w:rPr>
      </w:pPr>
      <w:r w:rsidRPr="00775EEC">
        <w:rPr>
          <w:rFonts w:ascii="Arial" w:hAnsi="Arial"/>
          <w:i/>
          <w:iCs/>
          <w:color w:val="21873F"/>
          <w:sz w:val="22"/>
          <w:szCs w:val="22"/>
          <w:lang w:eastAsia="fr-FR"/>
        </w:rPr>
        <w:t xml:space="preserve">Plafond </w:t>
      </w:r>
    </w:p>
    <w:p w14:paraId="7B918FA7"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 xml:space="preserve">Il n’y a pas de plafond pour cette intervention. </w:t>
      </w:r>
    </w:p>
    <w:p w14:paraId="1A40EABD" w14:textId="77777777" w:rsidR="00775EEC" w:rsidRPr="00775EEC" w:rsidRDefault="00775EEC" w:rsidP="00775EEC">
      <w:pPr>
        <w:spacing w:before="120" w:after="120"/>
        <w:jc w:val="both"/>
        <w:rPr>
          <w:rFonts w:ascii="Arial" w:eastAsia="Calibri" w:hAnsi="Arial"/>
          <w:szCs w:val="22"/>
          <w:lang w:eastAsia="fr-FR"/>
        </w:rPr>
      </w:pPr>
    </w:p>
    <w:p w14:paraId="477A0BE2" w14:textId="77777777" w:rsidR="00775EEC" w:rsidRPr="00775EEC" w:rsidRDefault="00775EEC" w:rsidP="00775EEC">
      <w:pPr>
        <w:keepNext/>
        <w:keepLines/>
        <w:spacing w:before="40" w:after="120"/>
        <w:jc w:val="both"/>
        <w:outlineLvl w:val="3"/>
        <w:rPr>
          <w:rFonts w:ascii="Arial" w:hAnsi="Arial"/>
          <w:i/>
          <w:iCs/>
          <w:color w:val="21873F"/>
          <w:sz w:val="22"/>
          <w:szCs w:val="22"/>
          <w:lang w:eastAsia="fr-FR"/>
        </w:rPr>
      </w:pPr>
      <w:r w:rsidRPr="00775EEC">
        <w:rPr>
          <w:rFonts w:ascii="Arial" w:hAnsi="Arial"/>
          <w:i/>
          <w:iCs/>
          <w:color w:val="21873F"/>
          <w:sz w:val="22"/>
          <w:szCs w:val="22"/>
          <w:lang w:eastAsia="fr-FR"/>
        </w:rPr>
        <w:t>Sur-plafond</w:t>
      </w:r>
    </w:p>
    <w:p w14:paraId="3026B1EC"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 xml:space="preserve">Il n’y a pas de sur-plafond pour cette intervention. </w:t>
      </w:r>
    </w:p>
    <w:p w14:paraId="578475E3" w14:textId="77777777" w:rsidR="00775EEC" w:rsidRPr="00775EEC" w:rsidRDefault="00775EEC" w:rsidP="00775EEC">
      <w:pPr>
        <w:spacing w:before="120" w:after="160" w:line="259" w:lineRule="auto"/>
        <w:jc w:val="both"/>
        <w:rPr>
          <w:rFonts w:eastAsia="Calibri"/>
          <w:sz w:val="24"/>
          <w:szCs w:val="22"/>
          <w:lang w:eastAsia="fr-FR"/>
        </w:rPr>
      </w:pPr>
    </w:p>
    <w:p w14:paraId="0FAB666D" w14:textId="77777777" w:rsidR="00775EEC" w:rsidRPr="00775EEC" w:rsidRDefault="00775EEC" w:rsidP="00775EEC">
      <w:pPr>
        <w:keepNext/>
        <w:keepLines/>
        <w:spacing w:before="40" w:after="120"/>
        <w:jc w:val="both"/>
        <w:outlineLvl w:val="1"/>
        <w:rPr>
          <w:rFonts w:ascii="Arial" w:hAnsi="Arial"/>
          <w:b/>
          <w:color w:val="21873F"/>
          <w:sz w:val="26"/>
          <w:szCs w:val="26"/>
          <w:lang w:eastAsia="fr-FR"/>
        </w:rPr>
      </w:pPr>
      <w:r w:rsidRPr="00775EEC">
        <w:rPr>
          <w:rFonts w:ascii="Arial" w:hAnsi="Arial"/>
          <w:b/>
          <w:color w:val="21873F"/>
          <w:sz w:val="26"/>
          <w:szCs w:val="26"/>
          <w:lang w:eastAsia="fr-FR"/>
        </w:rPr>
        <w:t xml:space="preserve">Modalités de mise en œuvre </w:t>
      </w:r>
    </w:p>
    <w:p w14:paraId="3D8518B9"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 xml:space="preserve">Cette intervention est mise en œuvre via des appels à projets. </w:t>
      </w:r>
    </w:p>
    <w:p w14:paraId="361242BB" w14:textId="77777777" w:rsidR="00775EEC" w:rsidRPr="00775EEC" w:rsidRDefault="00775EEC" w:rsidP="00775EEC">
      <w:pPr>
        <w:keepNext/>
        <w:keepLines/>
        <w:spacing w:before="40" w:after="120"/>
        <w:jc w:val="both"/>
        <w:outlineLvl w:val="1"/>
        <w:rPr>
          <w:rFonts w:ascii="Arial" w:hAnsi="Arial"/>
          <w:b/>
          <w:color w:val="21873F"/>
          <w:sz w:val="26"/>
          <w:szCs w:val="26"/>
          <w:lang w:eastAsia="fr-FR"/>
        </w:rPr>
      </w:pPr>
    </w:p>
    <w:p w14:paraId="7596CB62" w14:textId="77777777" w:rsidR="00775EEC" w:rsidRPr="00775EEC" w:rsidRDefault="00775EEC" w:rsidP="00775EEC">
      <w:pPr>
        <w:keepNext/>
        <w:keepLines/>
        <w:spacing w:before="40" w:after="120"/>
        <w:jc w:val="both"/>
        <w:outlineLvl w:val="1"/>
        <w:rPr>
          <w:rFonts w:ascii="Arial" w:hAnsi="Arial"/>
          <w:b/>
          <w:color w:val="21873F"/>
          <w:sz w:val="26"/>
          <w:szCs w:val="26"/>
          <w:lang w:eastAsia="fr-FR"/>
        </w:rPr>
      </w:pPr>
      <w:r w:rsidRPr="00775EEC">
        <w:rPr>
          <w:rFonts w:ascii="Arial" w:hAnsi="Arial"/>
          <w:b/>
          <w:color w:val="21873F"/>
          <w:sz w:val="26"/>
          <w:szCs w:val="26"/>
          <w:lang w:eastAsia="fr-FR"/>
        </w:rPr>
        <w:t>Modalités de versement</w:t>
      </w:r>
    </w:p>
    <w:p w14:paraId="35056B6F"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Les acomptes ne sont pas possibles pour cette intervention.</w:t>
      </w:r>
    </w:p>
    <w:p w14:paraId="2BF74C7B"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 xml:space="preserve">Le cofinancement est assuré en paiement associé ou dissocié. </w:t>
      </w:r>
    </w:p>
    <w:p w14:paraId="493DC547" w14:textId="77777777" w:rsidR="00775EEC" w:rsidRPr="00775EEC" w:rsidRDefault="00775EEC" w:rsidP="00775EEC">
      <w:pPr>
        <w:spacing w:before="120" w:after="120"/>
        <w:jc w:val="both"/>
        <w:rPr>
          <w:rFonts w:ascii="Arial" w:eastAsia="Calibri" w:hAnsi="Arial"/>
          <w:szCs w:val="22"/>
          <w:lang w:eastAsia="fr-FR"/>
        </w:rPr>
      </w:pPr>
      <w:r w:rsidRPr="00775EEC">
        <w:rPr>
          <w:rFonts w:ascii="Arial" w:eastAsia="Calibri" w:hAnsi="Arial"/>
          <w:szCs w:val="22"/>
          <w:lang w:eastAsia="fr-FR"/>
        </w:rPr>
        <w:t xml:space="preserve">Les avances ne sont pas autorisées sur cette intervention. </w:t>
      </w:r>
    </w:p>
    <w:p w14:paraId="61C61047" w14:textId="77777777" w:rsidR="00775EEC" w:rsidRPr="00775EEC" w:rsidRDefault="00775EEC" w:rsidP="00775EEC">
      <w:pPr>
        <w:spacing w:before="120" w:after="120"/>
        <w:jc w:val="both"/>
        <w:rPr>
          <w:rFonts w:ascii="Arial" w:eastAsia="Calibri" w:hAnsi="Arial"/>
          <w:szCs w:val="22"/>
          <w:lang w:eastAsia="fr-FR"/>
        </w:rPr>
      </w:pPr>
    </w:p>
    <w:p w14:paraId="066B6BAF" w14:textId="77777777" w:rsidR="00775EEC" w:rsidRPr="00775EEC" w:rsidRDefault="00775EEC" w:rsidP="00775EEC">
      <w:pPr>
        <w:keepNext/>
        <w:keepLines/>
        <w:spacing w:before="40" w:after="120"/>
        <w:jc w:val="both"/>
        <w:outlineLvl w:val="1"/>
        <w:rPr>
          <w:rFonts w:ascii="Arial" w:hAnsi="Arial"/>
          <w:b/>
          <w:color w:val="21873F"/>
          <w:sz w:val="26"/>
          <w:szCs w:val="26"/>
          <w:lang w:eastAsia="fr-FR"/>
        </w:rPr>
      </w:pPr>
      <w:r w:rsidRPr="00775EEC">
        <w:rPr>
          <w:rFonts w:ascii="Arial" w:hAnsi="Arial"/>
          <w:b/>
          <w:color w:val="21873F"/>
          <w:sz w:val="26"/>
          <w:szCs w:val="26"/>
          <w:lang w:eastAsia="fr-FR"/>
        </w:rPr>
        <w:t>Modalité de sélection des dossiers</w:t>
      </w:r>
    </w:p>
    <w:p w14:paraId="620EBDA9" w14:textId="77777777" w:rsidR="00775EEC" w:rsidRPr="00775EEC" w:rsidRDefault="00775EEC" w:rsidP="00775EEC">
      <w:pPr>
        <w:spacing w:before="120" w:after="120"/>
        <w:jc w:val="both"/>
        <w:rPr>
          <w:rFonts w:ascii="Arial" w:eastAsia="Calibri" w:hAnsi="Arial"/>
          <w:bCs/>
          <w:szCs w:val="22"/>
          <w:lang w:eastAsia="fr-FR"/>
        </w:rPr>
      </w:pPr>
      <w:r w:rsidRPr="00775EEC">
        <w:rPr>
          <w:rFonts w:ascii="Arial" w:eastAsia="Calibri" w:hAnsi="Arial"/>
          <w:bCs/>
          <w:szCs w:val="22"/>
          <w:lang w:eastAsia="fr-FR"/>
        </w:rPr>
        <w:t>Les projets sont sélectionnés régionalement à la suite d’appels à projets.</w:t>
      </w:r>
    </w:p>
    <w:p w14:paraId="6A8EF939" w14:textId="77777777" w:rsidR="00775EEC" w:rsidRPr="00775EEC" w:rsidRDefault="00775EEC" w:rsidP="00775EEC">
      <w:pPr>
        <w:spacing w:before="120" w:after="120"/>
        <w:jc w:val="both"/>
        <w:rPr>
          <w:rFonts w:ascii="Arial" w:eastAsia="Calibri" w:hAnsi="Arial"/>
          <w:bCs/>
          <w:szCs w:val="22"/>
          <w:lang w:eastAsia="fr-FR"/>
        </w:rPr>
      </w:pPr>
      <w:r w:rsidRPr="00775EEC">
        <w:rPr>
          <w:rFonts w:ascii="Arial" w:eastAsia="Calibri" w:hAnsi="Arial"/>
          <w:bCs/>
          <w:szCs w:val="22"/>
          <w:lang w:eastAsia="fr-FR"/>
        </w:rPr>
        <w:t>La sélection s’opère en priorisant les dossiers selon les critères suivants :</w:t>
      </w:r>
    </w:p>
    <w:p w14:paraId="09FBF114" w14:textId="77777777" w:rsidR="00775EEC" w:rsidRPr="00775EEC" w:rsidRDefault="00775EEC" w:rsidP="00775EEC">
      <w:pPr>
        <w:numPr>
          <w:ilvl w:val="0"/>
          <w:numId w:val="6"/>
        </w:numPr>
        <w:spacing w:before="120" w:after="120"/>
        <w:jc w:val="both"/>
        <w:rPr>
          <w:rFonts w:ascii="Arial" w:eastAsia="Calibri" w:hAnsi="Arial"/>
          <w:szCs w:val="22"/>
          <w:lang w:eastAsia="fr-FR"/>
        </w:rPr>
      </w:pPr>
      <w:r w:rsidRPr="00775EEC">
        <w:rPr>
          <w:rFonts w:ascii="Arial" w:eastAsia="Calibri" w:hAnsi="Arial"/>
          <w:szCs w:val="22"/>
          <w:lang w:eastAsia="fr-FR"/>
        </w:rPr>
        <w:t>notation « diagnostic » ;</w:t>
      </w:r>
    </w:p>
    <w:p w14:paraId="215C38ED" w14:textId="77777777" w:rsidR="00775EEC" w:rsidRPr="00775EEC" w:rsidRDefault="00775EEC" w:rsidP="00775EEC">
      <w:pPr>
        <w:numPr>
          <w:ilvl w:val="0"/>
          <w:numId w:val="6"/>
        </w:numPr>
        <w:spacing w:before="120" w:after="120"/>
        <w:contextualSpacing/>
        <w:jc w:val="both"/>
        <w:rPr>
          <w:rFonts w:ascii="Arial" w:eastAsia="Calibri" w:hAnsi="Arial"/>
          <w:szCs w:val="22"/>
          <w:lang w:eastAsia="fr-FR"/>
        </w:rPr>
      </w:pPr>
      <w:r w:rsidRPr="00775EEC">
        <w:rPr>
          <w:rFonts w:ascii="Arial" w:eastAsia="Calibri" w:hAnsi="Arial"/>
          <w:szCs w:val="22"/>
          <w:lang w:eastAsia="fr-FR"/>
        </w:rPr>
        <w:t>notation « agroécologie » ;</w:t>
      </w:r>
    </w:p>
    <w:p w14:paraId="6A009976" w14:textId="77777777" w:rsidR="00775EEC" w:rsidRPr="00775EEC" w:rsidRDefault="00775EEC" w:rsidP="00775EEC">
      <w:pPr>
        <w:numPr>
          <w:ilvl w:val="0"/>
          <w:numId w:val="6"/>
        </w:numPr>
        <w:spacing w:before="120" w:after="120"/>
        <w:jc w:val="both"/>
        <w:rPr>
          <w:rFonts w:ascii="Arial" w:eastAsia="Calibri" w:hAnsi="Arial"/>
          <w:szCs w:val="22"/>
          <w:lang w:eastAsia="fr-FR"/>
        </w:rPr>
      </w:pPr>
      <w:r w:rsidRPr="00775EEC">
        <w:rPr>
          <w:rFonts w:ascii="Arial" w:eastAsia="Calibri" w:hAnsi="Arial"/>
          <w:szCs w:val="22"/>
          <w:lang w:eastAsia="fr-FR"/>
        </w:rPr>
        <w:t xml:space="preserve">notation « ampleur des résultats attendus ». </w:t>
      </w:r>
    </w:p>
    <w:p w14:paraId="340C3B01" w14:textId="77777777" w:rsidR="00775EEC" w:rsidRPr="00775EEC" w:rsidRDefault="00775EEC" w:rsidP="00775EEC">
      <w:pPr>
        <w:spacing w:before="120" w:after="120"/>
        <w:jc w:val="both"/>
        <w:rPr>
          <w:rFonts w:ascii="Arial" w:eastAsia="Calibri" w:hAnsi="Arial"/>
          <w:szCs w:val="22"/>
          <w:lang w:eastAsia="fr-FR"/>
        </w:rPr>
      </w:pPr>
    </w:p>
    <w:p w14:paraId="544067DC" w14:textId="77777777" w:rsidR="00775EEC" w:rsidRPr="00775EEC" w:rsidRDefault="00775EEC" w:rsidP="00775EEC">
      <w:pPr>
        <w:spacing w:before="120" w:after="120"/>
        <w:jc w:val="both"/>
        <w:rPr>
          <w:rFonts w:ascii="Arial" w:eastAsia="Calibri" w:hAnsi="Arial"/>
          <w:szCs w:val="22"/>
          <w:lang w:eastAsia="fr-FR"/>
        </w:rPr>
      </w:pPr>
    </w:p>
    <w:p w14:paraId="45DD3C3D" w14:textId="77777777" w:rsidR="00775EEC" w:rsidRPr="00775EEC" w:rsidRDefault="00775EEC" w:rsidP="00775EEC">
      <w:pPr>
        <w:keepNext/>
        <w:keepLines/>
        <w:spacing w:before="40" w:after="120"/>
        <w:jc w:val="both"/>
        <w:outlineLvl w:val="1"/>
        <w:rPr>
          <w:rFonts w:ascii="Arial" w:hAnsi="Arial"/>
          <w:b/>
          <w:color w:val="21873F"/>
          <w:sz w:val="26"/>
          <w:szCs w:val="26"/>
          <w:lang w:eastAsia="fr-FR"/>
        </w:rPr>
      </w:pPr>
      <w:r w:rsidRPr="00775EEC">
        <w:rPr>
          <w:rFonts w:ascii="Arial" w:hAnsi="Arial"/>
          <w:b/>
          <w:color w:val="21873F"/>
          <w:sz w:val="26"/>
          <w:szCs w:val="26"/>
          <w:lang w:eastAsia="fr-FR"/>
        </w:rPr>
        <w:t>Informations complémentaires de la fiche d’intervention</w:t>
      </w:r>
    </w:p>
    <w:p w14:paraId="535CB76B" w14:textId="77777777" w:rsidR="00775EEC" w:rsidRPr="00775EEC" w:rsidRDefault="00775EEC" w:rsidP="00775EEC">
      <w:pPr>
        <w:keepNext/>
        <w:keepLines/>
        <w:spacing w:before="40" w:after="120"/>
        <w:jc w:val="both"/>
        <w:outlineLvl w:val="2"/>
        <w:rPr>
          <w:rFonts w:ascii="Arial" w:hAnsi="Arial"/>
          <w:color w:val="248146"/>
          <w:sz w:val="22"/>
          <w:szCs w:val="24"/>
          <w:u w:val="single"/>
          <w:lang w:eastAsia="fr-FR"/>
        </w:rPr>
      </w:pPr>
      <w:r w:rsidRPr="00775EEC">
        <w:rPr>
          <w:rFonts w:ascii="Arial" w:hAnsi="Arial"/>
          <w:color w:val="248146"/>
          <w:sz w:val="22"/>
          <w:szCs w:val="24"/>
          <w:u w:val="single"/>
          <w:lang w:eastAsia="fr-FR"/>
        </w:rPr>
        <w:t xml:space="preserve">Fiche PSN à laquelle cette intervention est rattachée </w:t>
      </w:r>
    </w:p>
    <w:p w14:paraId="26F553BF" w14:textId="77777777" w:rsidR="00775EEC" w:rsidRPr="00775EEC" w:rsidRDefault="00775EEC" w:rsidP="00775EEC">
      <w:pPr>
        <w:spacing w:before="120" w:after="120"/>
        <w:jc w:val="both"/>
        <w:rPr>
          <w:rFonts w:ascii="Arial" w:eastAsia="Calibri" w:hAnsi="Arial"/>
          <w:szCs w:val="22"/>
        </w:rPr>
      </w:pPr>
      <w:r w:rsidRPr="00775EEC">
        <w:rPr>
          <w:rFonts w:ascii="Arial" w:eastAsia="Calibri" w:hAnsi="Arial"/>
          <w:szCs w:val="22"/>
        </w:rPr>
        <w:t>77.02 Investissements non-productifs on-</w:t>
      </w:r>
      <w:proofErr w:type="spellStart"/>
      <w:r w:rsidRPr="00775EEC">
        <w:rPr>
          <w:rFonts w:ascii="Arial" w:eastAsia="Calibri" w:hAnsi="Arial"/>
          <w:szCs w:val="22"/>
        </w:rPr>
        <w:t>farm</w:t>
      </w:r>
      <w:proofErr w:type="spellEnd"/>
    </w:p>
    <w:p w14:paraId="2C9A91FE" w14:textId="77777777" w:rsidR="00775EEC" w:rsidRPr="00775EEC" w:rsidRDefault="00775EEC" w:rsidP="00775EEC">
      <w:pPr>
        <w:spacing w:before="120" w:after="120"/>
        <w:jc w:val="both"/>
        <w:rPr>
          <w:rFonts w:ascii="Arial" w:eastAsia="Calibri" w:hAnsi="Arial"/>
          <w:szCs w:val="22"/>
        </w:rPr>
      </w:pPr>
    </w:p>
    <w:p w14:paraId="40DF7B50" w14:textId="77777777" w:rsidR="00775EEC" w:rsidRPr="00775EEC" w:rsidRDefault="00775EEC" w:rsidP="00775EEC">
      <w:pPr>
        <w:keepNext/>
        <w:keepLines/>
        <w:spacing w:before="40" w:after="120"/>
        <w:jc w:val="both"/>
        <w:outlineLvl w:val="2"/>
        <w:rPr>
          <w:rFonts w:ascii="Arial" w:hAnsi="Arial"/>
          <w:color w:val="248146"/>
          <w:sz w:val="22"/>
          <w:szCs w:val="24"/>
          <w:u w:val="single"/>
        </w:rPr>
      </w:pPr>
      <w:r w:rsidRPr="00775EEC">
        <w:rPr>
          <w:rFonts w:ascii="Arial" w:hAnsi="Arial"/>
          <w:color w:val="248146"/>
          <w:sz w:val="22"/>
          <w:szCs w:val="24"/>
          <w:u w:val="single"/>
        </w:rPr>
        <w:t>Comité régional de suivi ayant validé cette fiche</w:t>
      </w:r>
    </w:p>
    <w:p w14:paraId="588A9530" w14:textId="77777777" w:rsidR="00775EEC" w:rsidRPr="00775EEC" w:rsidRDefault="00775EEC" w:rsidP="00775EEC">
      <w:pPr>
        <w:autoSpaceDE w:val="0"/>
        <w:autoSpaceDN w:val="0"/>
        <w:adjustRightInd w:val="0"/>
        <w:rPr>
          <w:rFonts w:ascii="Arial" w:eastAsia="Calibri" w:hAnsi="Arial" w:cs="Arial"/>
          <w:color w:val="000000"/>
        </w:rPr>
      </w:pPr>
      <w:r w:rsidRPr="00775EEC">
        <w:rPr>
          <w:rFonts w:ascii="Arial" w:eastAsia="Calibri" w:hAnsi="Arial" w:cs="Arial"/>
          <w:color w:val="000000"/>
        </w:rPr>
        <w:t>Version 1 - Comité régional de suivi du 21 mars 2023</w:t>
      </w:r>
    </w:p>
    <w:p w14:paraId="578A2635" w14:textId="77777777" w:rsidR="00775EEC" w:rsidRPr="00775EEC" w:rsidRDefault="00775EEC" w:rsidP="00775EEC">
      <w:pPr>
        <w:spacing w:before="120" w:after="120"/>
        <w:jc w:val="both"/>
        <w:rPr>
          <w:rFonts w:ascii="Arial" w:eastAsia="Calibri" w:hAnsi="Arial"/>
          <w:szCs w:val="22"/>
        </w:rPr>
      </w:pPr>
      <w:r w:rsidRPr="00775EEC">
        <w:rPr>
          <w:rFonts w:ascii="Arial" w:eastAsia="Calibri" w:hAnsi="Arial"/>
        </w:rPr>
        <w:t>Version 2 – Consultation écrite du Comité régional de suivi du 29 novembre au 11</w:t>
      </w:r>
      <w:r w:rsidRPr="00775EEC">
        <w:rPr>
          <w:rFonts w:ascii="Arial" w:eastAsia="Calibri" w:hAnsi="Arial"/>
          <w:szCs w:val="22"/>
        </w:rPr>
        <w:t xml:space="preserve"> décembre 2024</w:t>
      </w:r>
    </w:p>
    <w:p w14:paraId="69E89BF0" w14:textId="77777777" w:rsidR="00775EEC" w:rsidRPr="00775EEC" w:rsidRDefault="00775EEC" w:rsidP="00775EEC">
      <w:pPr>
        <w:spacing w:before="120" w:after="120"/>
        <w:jc w:val="both"/>
        <w:rPr>
          <w:rFonts w:ascii="Arial" w:eastAsia="Calibri" w:hAnsi="Arial"/>
          <w:szCs w:val="22"/>
        </w:rPr>
      </w:pPr>
    </w:p>
    <w:p w14:paraId="4EDB4BBD" w14:textId="65B16EB5" w:rsidR="004077DD" w:rsidRPr="00775EEC" w:rsidRDefault="004077DD">
      <w:pPr>
        <w:rPr>
          <w:rFonts w:ascii="Arial" w:hAnsi="Arial"/>
          <w:b/>
          <w:color w:val="21873F"/>
          <w:sz w:val="36"/>
          <w:szCs w:val="32"/>
          <w:lang w:eastAsia="fr-FR"/>
        </w:rPr>
      </w:pPr>
    </w:p>
    <w:sectPr w:rsidR="004077DD" w:rsidRPr="00775EEC">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MAILLOT CLOTHILDE" w:date="2025-09-17T09:29:00Z" w:initials="MC">
    <w:p w14:paraId="17B1EB51" w14:textId="77777777" w:rsidR="00775EEC" w:rsidRDefault="00775EEC" w:rsidP="00775EEC">
      <w:r>
        <w:annotationRef/>
      </w:r>
      <w:r w:rsidRPr="292AEF21">
        <w:t>Suppression de la ligne « Dans les sites Natura 2000, les travaux éligibles devront être conformes aux dispositions des documents d’objectifs des sites Natura 2000 ». </w:t>
      </w:r>
    </w:p>
    <w:p w14:paraId="1F9D3EBF" w14:textId="77777777" w:rsidR="00775EEC" w:rsidRDefault="00775EEC" w:rsidP="00775EEC"/>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F9D3EBF"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79BB543" w16cex:dateUtc="2025-09-17T07: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F9D3EBF" w16cid:durableId="379BB54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metr415 Lt BT">
    <w:altName w:val="Segoe UI"/>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6760C8"/>
    <w:multiLevelType w:val="hybridMultilevel"/>
    <w:tmpl w:val="7908C2B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142CB1"/>
    <w:multiLevelType w:val="hybridMultilevel"/>
    <w:tmpl w:val="7EA03538"/>
    <w:lvl w:ilvl="0" w:tplc="173E0528">
      <w:start w:val="7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AC0405"/>
    <w:multiLevelType w:val="hybridMultilevel"/>
    <w:tmpl w:val="E520B32A"/>
    <w:lvl w:ilvl="0" w:tplc="AEEE6E32">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B924484"/>
    <w:multiLevelType w:val="hybridMultilevel"/>
    <w:tmpl w:val="64D22E76"/>
    <w:lvl w:ilvl="0" w:tplc="08BEA4E6">
      <w:start w:val="2"/>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7B35F61"/>
    <w:multiLevelType w:val="hybridMultilevel"/>
    <w:tmpl w:val="9FB0C4C0"/>
    <w:lvl w:ilvl="0" w:tplc="040C001B">
      <w:start w:val="1"/>
      <w:numFmt w:val="lowerRoman"/>
      <w:lvlText w:val="%1."/>
      <w:lvlJc w:val="righ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73A418EA"/>
    <w:multiLevelType w:val="hybridMultilevel"/>
    <w:tmpl w:val="F612A984"/>
    <w:lvl w:ilvl="0" w:tplc="08BEA4E6">
      <w:start w:val="2"/>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150364809">
    <w:abstractNumId w:val="2"/>
  </w:num>
  <w:num w:numId="2" w16cid:durableId="1988585712">
    <w:abstractNumId w:val="3"/>
  </w:num>
  <w:num w:numId="3" w16cid:durableId="2065566759">
    <w:abstractNumId w:val="5"/>
  </w:num>
  <w:num w:numId="4" w16cid:durableId="452987694">
    <w:abstractNumId w:val="0"/>
  </w:num>
  <w:num w:numId="5" w16cid:durableId="1591356683">
    <w:abstractNumId w:val="4"/>
  </w:num>
  <w:num w:numId="6" w16cid:durableId="112164965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ILLOT CLOTHILDE">
    <w15:presenceInfo w15:providerId="AD" w15:userId="S::clothilde.maillot@bourgognefranchecomte.fr::1cd0313b-e743-4fe3-a1b2-2cebc40492e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EEC"/>
    <w:rsid w:val="000338D2"/>
    <w:rsid w:val="000F4108"/>
    <w:rsid w:val="00293248"/>
    <w:rsid w:val="003A2567"/>
    <w:rsid w:val="004077DD"/>
    <w:rsid w:val="00646F40"/>
    <w:rsid w:val="00775EEC"/>
    <w:rsid w:val="008E59ED"/>
    <w:rsid w:val="00A5574C"/>
    <w:rsid w:val="00B11A39"/>
    <w:rsid w:val="00FC4D5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42AFF"/>
  <w15:chartTrackingRefBased/>
  <w15:docId w15:val="{9F666D2F-B521-40FF-944E-F9EAAFAB6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locked="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locked="1" w:uiPriority="29" w:qFormat="1"/>
    <w:lsdException w:name="Intense Quote" w:locked="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link w:val="Titre1Car"/>
    <w:uiPriority w:val="9"/>
    <w:rsid w:val="00775EEC"/>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re2">
    <w:name w:val="heading 2"/>
    <w:basedOn w:val="Normal"/>
    <w:next w:val="Normal"/>
    <w:link w:val="Titre2Car"/>
    <w:uiPriority w:val="9"/>
    <w:semiHidden/>
    <w:unhideWhenUsed/>
    <w:rsid w:val="00775EEC"/>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uiPriority w:val="9"/>
    <w:semiHidden/>
    <w:unhideWhenUsed/>
    <w:rsid w:val="00775EEC"/>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Titre4">
    <w:name w:val="heading 4"/>
    <w:basedOn w:val="Normal"/>
    <w:next w:val="Normal"/>
    <w:link w:val="Titre4Car"/>
    <w:semiHidden/>
    <w:unhideWhenUsed/>
    <w:qFormat/>
    <w:locked/>
    <w:rsid w:val="00775EEC"/>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Titre5">
    <w:name w:val="heading 5"/>
    <w:basedOn w:val="Normal"/>
    <w:next w:val="Normal"/>
    <w:link w:val="Titre5Car"/>
    <w:semiHidden/>
    <w:unhideWhenUsed/>
    <w:qFormat/>
    <w:locked/>
    <w:rsid w:val="00775EEC"/>
    <w:pPr>
      <w:keepNext/>
      <w:keepLines/>
      <w:spacing w:before="80" w:after="40"/>
      <w:outlineLvl w:val="4"/>
    </w:pPr>
    <w:rPr>
      <w:rFonts w:asciiTheme="minorHAnsi" w:eastAsiaTheme="majorEastAsia" w:hAnsiTheme="minorHAnsi" w:cstheme="majorBidi"/>
      <w:color w:val="365F91" w:themeColor="accent1" w:themeShade="BF"/>
    </w:rPr>
  </w:style>
  <w:style w:type="paragraph" w:styleId="Titre6">
    <w:name w:val="heading 6"/>
    <w:basedOn w:val="Normal"/>
    <w:next w:val="Normal"/>
    <w:link w:val="Titre6Car"/>
    <w:semiHidden/>
    <w:unhideWhenUsed/>
    <w:qFormat/>
    <w:locked/>
    <w:rsid w:val="00775EEC"/>
    <w:pPr>
      <w:keepNext/>
      <w:keepLines/>
      <w:spacing w:before="4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semiHidden/>
    <w:unhideWhenUsed/>
    <w:qFormat/>
    <w:locked/>
    <w:rsid w:val="00775EEC"/>
    <w:pPr>
      <w:keepNext/>
      <w:keepLines/>
      <w:spacing w:before="4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semiHidden/>
    <w:unhideWhenUsed/>
    <w:qFormat/>
    <w:locked/>
    <w:rsid w:val="00775EEC"/>
    <w:pPr>
      <w:keepNext/>
      <w:keepLines/>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semiHidden/>
    <w:unhideWhenUsed/>
    <w:qFormat/>
    <w:locked/>
    <w:rsid w:val="00775EEC"/>
    <w:pPr>
      <w:keepNext/>
      <w:keepLines/>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02-DIRECTION-SERVICE">
    <w:name w:val="A 02 - DIRECTION - SERVICE"/>
    <w:qFormat/>
    <w:rsid w:val="00293248"/>
    <w:pPr>
      <w:framePr w:hSpace="141" w:wrap="around" w:vAnchor="page" w:hAnchor="margin" w:x="-72" w:y="1239"/>
      <w:spacing w:line="280" w:lineRule="exact"/>
    </w:pPr>
    <w:rPr>
      <w:rFonts w:ascii="Geometr415 Lt BT" w:hAnsi="Geometr415 Lt BT"/>
      <w:color w:val="000000"/>
      <w:sz w:val="22"/>
    </w:rPr>
  </w:style>
  <w:style w:type="character" w:styleId="Accentuation">
    <w:name w:val="Emphasis"/>
    <w:basedOn w:val="Policepardfaut"/>
    <w:qFormat/>
    <w:rsid w:val="00293248"/>
    <w:rPr>
      <w:i/>
      <w:iCs/>
    </w:rPr>
  </w:style>
  <w:style w:type="paragraph" w:styleId="Paragraphedeliste">
    <w:name w:val="List Paragraph"/>
    <w:basedOn w:val="Normal"/>
    <w:uiPriority w:val="34"/>
    <w:qFormat/>
    <w:rsid w:val="00293248"/>
    <w:pPr>
      <w:spacing w:after="200" w:line="276" w:lineRule="auto"/>
      <w:ind w:left="720"/>
      <w:contextualSpacing/>
    </w:pPr>
    <w:rPr>
      <w:rFonts w:asciiTheme="minorHAnsi" w:eastAsiaTheme="minorHAnsi" w:hAnsiTheme="minorHAnsi" w:cstheme="minorBidi"/>
      <w:sz w:val="22"/>
      <w:szCs w:val="22"/>
    </w:rPr>
  </w:style>
  <w:style w:type="character" w:customStyle="1" w:styleId="Titre1Car">
    <w:name w:val="Titre 1 Car"/>
    <w:basedOn w:val="Policepardfaut"/>
    <w:link w:val="Titre1"/>
    <w:uiPriority w:val="9"/>
    <w:rsid w:val="00775EEC"/>
    <w:rPr>
      <w:rFonts w:asciiTheme="majorHAnsi" w:eastAsiaTheme="majorEastAsia" w:hAnsiTheme="majorHAnsi" w:cstheme="majorBidi"/>
      <w:color w:val="365F91" w:themeColor="accent1" w:themeShade="BF"/>
      <w:sz w:val="40"/>
      <w:szCs w:val="40"/>
    </w:rPr>
  </w:style>
  <w:style w:type="character" w:customStyle="1" w:styleId="Titre2Car">
    <w:name w:val="Titre 2 Car"/>
    <w:basedOn w:val="Policepardfaut"/>
    <w:link w:val="Titre2"/>
    <w:uiPriority w:val="9"/>
    <w:semiHidden/>
    <w:rsid w:val="00775EEC"/>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uiPriority w:val="9"/>
    <w:semiHidden/>
    <w:rsid w:val="00775EEC"/>
    <w:rPr>
      <w:rFonts w:asciiTheme="minorHAnsi" w:eastAsiaTheme="majorEastAsia" w:hAnsiTheme="minorHAnsi" w:cstheme="majorBidi"/>
      <w:color w:val="365F91" w:themeColor="accent1" w:themeShade="BF"/>
      <w:sz w:val="28"/>
      <w:szCs w:val="28"/>
    </w:rPr>
  </w:style>
  <w:style w:type="character" w:customStyle="1" w:styleId="Titre4Car">
    <w:name w:val="Titre 4 Car"/>
    <w:basedOn w:val="Policepardfaut"/>
    <w:link w:val="Titre4"/>
    <w:semiHidden/>
    <w:rsid w:val="00775EEC"/>
    <w:rPr>
      <w:rFonts w:asciiTheme="minorHAnsi" w:eastAsiaTheme="majorEastAsia" w:hAnsiTheme="minorHAnsi" w:cstheme="majorBidi"/>
      <w:i/>
      <w:iCs/>
      <w:color w:val="365F91" w:themeColor="accent1" w:themeShade="BF"/>
    </w:rPr>
  </w:style>
  <w:style w:type="character" w:customStyle="1" w:styleId="Titre5Car">
    <w:name w:val="Titre 5 Car"/>
    <w:basedOn w:val="Policepardfaut"/>
    <w:link w:val="Titre5"/>
    <w:semiHidden/>
    <w:rsid w:val="00775EEC"/>
    <w:rPr>
      <w:rFonts w:asciiTheme="minorHAnsi" w:eastAsiaTheme="majorEastAsia" w:hAnsiTheme="minorHAnsi" w:cstheme="majorBidi"/>
      <w:color w:val="365F91" w:themeColor="accent1" w:themeShade="BF"/>
    </w:rPr>
  </w:style>
  <w:style w:type="character" w:customStyle="1" w:styleId="Titre6Car">
    <w:name w:val="Titre 6 Car"/>
    <w:basedOn w:val="Policepardfaut"/>
    <w:link w:val="Titre6"/>
    <w:semiHidden/>
    <w:rsid w:val="00775EEC"/>
    <w:rPr>
      <w:rFonts w:asciiTheme="minorHAnsi" w:eastAsiaTheme="majorEastAsia" w:hAnsiTheme="minorHAnsi" w:cstheme="majorBidi"/>
      <w:i/>
      <w:iCs/>
      <w:color w:val="595959" w:themeColor="text1" w:themeTint="A6"/>
    </w:rPr>
  </w:style>
  <w:style w:type="character" w:customStyle="1" w:styleId="Titre7Car">
    <w:name w:val="Titre 7 Car"/>
    <w:basedOn w:val="Policepardfaut"/>
    <w:link w:val="Titre7"/>
    <w:semiHidden/>
    <w:rsid w:val="00775EEC"/>
    <w:rPr>
      <w:rFonts w:asciiTheme="minorHAnsi" w:eastAsiaTheme="majorEastAsia" w:hAnsiTheme="minorHAnsi" w:cstheme="majorBidi"/>
      <w:color w:val="595959" w:themeColor="text1" w:themeTint="A6"/>
    </w:rPr>
  </w:style>
  <w:style w:type="character" w:customStyle="1" w:styleId="Titre8Car">
    <w:name w:val="Titre 8 Car"/>
    <w:basedOn w:val="Policepardfaut"/>
    <w:link w:val="Titre8"/>
    <w:semiHidden/>
    <w:rsid w:val="00775EEC"/>
    <w:rPr>
      <w:rFonts w:asciiTheme="minorHAnsi" w:eastAsiaTheme="majorEastAsia" w:hAnsiTheme="minorHAnsi" w:cstheme="majorBidi"/>
      <w:i/>
      <w:iCs/>
      <w:color w:val="272727" w:themeColor="text1" w:themeTint="D8"/>
    </w:rPr>
  </w:style>
  <w:style w:type="character" w:customStyle="1" w:styleId="Titre9Car">
    <w:name w:val="Titre 9 Car"/>
    <w:basedOn w:val="Policepardfaut"/>
    <w:link w:val="Titre9"/>
    <w:semiHidden/>
    <w:rsid w:val="00775EEC"/>
    <w:rPr>
      <w:rFonts w:asciiTheme="minorHAnsi" w:eastAsiaTheme="majorEastAsia" w:hAnsiTheme="minorHAnsi" w:cstheme="majorBidi"/>
      <w:color w:val="272727" w:themeColor="text1" w:themeTint="D8"/>
    </w:rPr>
  </w:style>
  <w:style w:type="paragraph" w:styleId="Titre">
    <w:name w:val="Title"/>
    <w:basedOn w:val="Normal"/>
    <w:next w:val="Normal"/>
    <w:link w:val="TitreCar"/>
    <w:qFormat/>
    <w:locked/>
    <w:rsid w:val="00775EEC"/>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775EE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qFormat/>
    <w:locked/>
    <w:rsid w:val="00775EE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rsid w:val="00775EEC"/>
    <w:rPr>
      <w:rFonts w:asciiTheme="minorHAnsi" w:eastAsiaTheme="majorEastAsia" w:hAnsiTheme="minorHAnsi" w:cstheme="majorBidi"/>
      <w:color w:val="595959" w:themeColor="text1" w:themeTint="A6"/>
      <w:spacing w:val="15"/>
      <w:sz w:val="28"/>
      <w:szCs w:val="28"/>
    </w:rPr>
  </w:style>
  <w:style w:type="paragraph" w:styleId="Citation">
    <w:name w:val="Quote"/>
    <w:basedOn w:val="Normal"/>
    <w:next w:val="Normal"/>
    <w:link w:val="CitationCar"/>
    <w:uiPriority w:val="29"/>
    <w:qFormat/>
    <w:locked/>
    <w:rsid w:val="00775EEC"/>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775EEC"/>
    <w:rPr>
      <w:i/>
      <w:iCs/>
      <w:color w:val="404040" w:themeColor="text1" w:themeTint="BF"/>
    </w:rPr>
  </w:style>
  <w:style w:type="character" w:styleId="Accentuationintense">
    <w:name w:val="Intense Emphasis"/>
    <w:basedOn w:val="Policepardfaut"/>
    <w:uiPriority w:val="21"/>
    <w:qFormat/>
    <w:locked/>
    <w:rsid w:val="00775EEC"/>
    <w:rPr>
      <w:i/>
      <w:iCs/>
      <w:color w:val="365F91" w:themeColor="accent1" w:themeShade="BF"/>
    </w:rPr>
  </w:style>
  <w:style w:type="paragraph" w:styleId="Citationintense">
    <w:name w:val="Intense Quote"/>
    <w:basedOn w:val="Normal"/>
    <w:next w:val="Normal"/>
    <w:link w:val="CitationintenseCar"/>
    <w:uiPriority w:val="30"/>
    <w:qFormat/>
    <w:locked/>
    <w:rsid w:val="00775EE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sid w:val="00775EEC"/>
    <w:rPr>
      <w:i/>
      <w:iCs/>
      <w:color w:val="365F91" w:themeColor="accent1" w:themeShade="BF"/>
    </w:rPr>
  </w:style>
  <w:style w:type="character" w:styleId="Rfrenceintense">
    <w:name w:val="Intense Reference"/>
    <w:basedOn w:val="Policepardfaut"/>
    <w:uiPriority w:val="32"/>
    <w:qFormat/>
    <w:locked/>
    <w:rsid w:val="00775EEC"/>
    <w:rPr>
      <w:b/>
      <w:bCs/>
      <w:smallCaps/>
      <w:color w:val="365F91" w:themeColor="accent1" w:themeShade="BF"/>
      <w:spacing w:val="5"/>
    </w:rPr>
  </w:style>
  <w:style w:type="paragraph" w:styleId="Commentaire">
    <w:name w:val="annotation text"/>
    <w:basedOn w:val="Normal"/>
    <w:link w:val="CommentaireCar"/>
    <w:uiPriority w:val="99"/>
    <w:semiHidden/>
    <w:unhideWhenUsed/>
  </w:style>
  <w:style w:type="character" w:customStyle="1" w:styleId="CommentaireCar">
    <w:name w:val="Commentaire Car"/>
    <w:basedOn w:val="Policepardfaut"/>
    <w:link w:val="Commentaire"/>
    <w:uiPriority w:val="99"/>
    <w:semiHidden/>
  </w:style>
  <w:style w:type="character" w:styleId="Marquedecommentaire">
    <w:name w:val="annotation reference"/>
    <w:basedOn w:val="Policepardfau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1555</Words>
  <Characters>8554</Characters>
  <Application>Microsoft Office Word</Application>
  <DocSecurity>0</DocSecurity>
  <Lines>71</Lines>
  <Paragraphs>20</Paragraphs>
  <ScaleCrop>false</ScaleCrop>
  <Company/>
  <LinksUpToDate>false</LinksUpToDate>
  <CharactersWithSpaces>10089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SOUILLARD Maxime</dc:creator>
  <cp:keywords/>
  <dc:description/>
  <cp:lastModifiedBy>SOUILLARD Maxime</cp:lastModifiedBy>
  <cp:revision>3</cp:revision>
  <dcterms:created xsi:type="dcterms:W3CDTF">2025-11-12T14:38:00Z</dcterms:created>
  <dcterms:modified xsi:type="dcterms:W3CDTF">2025-11-12T14:38:00Z</dcterms:modified>
</cp:coreProperties>
</file>